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bCs/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 xml:space="preserve">ОДОБРЕНЫ 31 марта 2026 года</w:t>
      </w:r>
      <w:r>
        <w:rPr>
          <w:bCs/>
          <w:sz w:val="28"/>
          <w:szCs w:val="28"/>
          <w:highlight w:val="yellow"/>
        </w:rPr>
      </w:r>
      <w:r>
        <w:rPr>
          <w:bCs/>
          <w:sz w:val="28"/>
          <w:szCs w:val="28"/>
          <w:highlight w:val="yellow"/>
        </w:rPr>
      </w:r>
    </w:p>
    <w:p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Методические рекомендации 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разработке административного регламента 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предоставлени</w:t>
      </w:r>
      <w:r>
        <w:rPr>
          <w:sz w:val="28"/>
          <w:szCs w:val="28"/>
        </w:rPr>
        <w:t xml:space="preserve">я муниципальной услуги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Включение</w:t>
      </w:r>
      <w:r>
        <w:rPr>
          <w:sz w:val="28"/>
          <w:szCs w:val="28"/>
        </w:rPr>
        <w:t xml:space="preserve"> нестационарного торгового объекта</w:t>
      </w:r>
      <w:r>
        <w:rPr>
          <w:sz w:val="28"/>
          <w:szCs w:val="28"/>
        </w:rPr>
        <w:t xml:space="preserve"> в схему размещения нестационарных торговых объектов</w:t>
      </w:r>
      <w:r>
        <w:rPr>
          <w:sz w:val="28"/>
          <w:szCs w:val="28"/>
        </w:rPr>
        <w:t xml:space="preserve">, расположенных на земельных участках, в зданиях, строениях и сооружениях, находящихся в государственной и муниципальной собственности, на территории муниципального</w:t>
      </w:r>
      <w:r>
        <w:rPr>
          <w:sz w:val="28"/>
          <w:szCs w:val="28"/>
        </w:rPr>
        <w:t xml:space="preserve"> образования ____</w:t>
      </w:r>
      <w:r>
        <w:rPr>
          <w:sz w:val="28"/>
          <w:szCs w:val="28"/>
        </w:rPr>
        <w:t xml:space="preserve">___________</w:t>
      </w:r>
      <w:r>
        <w:rPr>
          <w:sz w:val="28"/>
          <w:szCs w:val="28"/>
        </w:rPr>
        <w:t xml:space="preserve">___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Ленинградской области»</w:t>
      </w:r>
      <w:r>
        <w:rPr>
          <w:sz w:val="28"/>
          <w:szCs w:val="28"/>
        </w:rPr>
        <w:t xml:space="preserve"> (сокращенное наименование – «Включение нестационарного объекта в схему размещения</w:t>
      </w:r>
      <w:r>
        <w:rPr>
          <w:sz w:val="28"/>
          <w:szCs w:val="28"/>
        </w:rPr>
        <w:t xml:space="preserve"> нестационарных торговых объектов</w:t>
      </w:r>
      <w:r>
        <w:rPr>
          <w:sz w:val="28"/>
          <w:szCs w:val="28"/>
        </w:rPr>
        <w:t xml:space="preserve">»)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(далее – регламент, муниципальная услуга)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spacing w:before="0" w:after="0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1. Общие положения</w:t>
      </w:r>
      <w:r>
        <w:rPr>
          <w:b/>
          <w:bCs/>
          <w:color w:val="auto"/>
          <w:sz w:val="28"/>
          <w:szCs w:val="28"/>
        </w:rPr>
      </w:r>
      <w:r>
        <w:rPr>
          <w:b/>
          <w:bCs/>
          <w:color w:val="auto"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Предмет регулирования.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Регламент устанавливает порядок и стандарт предоставления </w:t>
      </w:r>
      <w:r>
        <w:rPr>
          <w:sz w:val="28"/>
          <w:szCs w:val="28"/>
        </w:rPr>
        <w:t xml:space="preserve">муниципальной услуги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Круг заявителей.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Заявителями, имеющими право на получение </w:t>
      </w:r>
      <w:r>
        <w:rPr>
          <w:sz w:val="28"/>
          <w:szCs w:val="28"/>
        </w:rPr>
        <w:t xml:space="preserve">муниципальной услуги</w:t>
      </w:r>
      <w:r>
        <w:rPr>
          <w:sz w:val="28"/>
          <w:szCs w:val="28"/>
        </w:rPr>
        <w:t xml:space="preserve">, являются: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физические лица, </w:t>
      </w:r>
      <w:r>
        <w:rPr>
          <w:sz w:val="28"/>
          <w:szCs w:val="28"/>
        </w:rPr>
        <w:t xml:space="preserve">не являющиеся индивидуальными предпринимателями и </w:t>
      </w:r>
      <w:r>
        <w:rPr>
          <w:sz w:val="28"/>
          <w:szCs w:val="28"/>
        </w:rPr>
        <w:t xml:space="preserve">применяющие специальный налоговый режим «Налог на профессиональный доход» (далее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са</w:t>
      </w:r>
      <w:r>
        <w:rPr>
          <w:sz w:val="28"/>
          <w:szCs w:val="28"/>
        </w:rPr>
        <w:t xml:space="preserve">мозанятые);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юридические лица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индивидуальные предприниматели</w:t>
      </w:r>
      <w:r>
        <w:rPr>
          <w:sz w:val="28"/>
          <w:szCs w:val="28"/>
        </w:rPr>
        <w:t xml:space="preserve"> (далее – заявители).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редставлять интересы заявителя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имеют право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имени физических лиц (самозанятых):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представители, действующие в силу полномочий, основанных на доверенности или договоре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имени юридических лиц: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лица, действующие в соответствии с законом или учредительными документами от имени юридического лица без доверенности;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представители юридических лиц в силу полномочий на осно</w:t>
      </w:r>
      <w:r>
        <w:rPr>
          <w:sz w:val="28"/>
          <w:szCs w:val="28"/>
        </w:rPr>
        <w:t xml:space="preserve">вании доверенности или договора;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имени индивидуальных предпринимателей: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представители</w:t>
      </w:r>
      <w:r>
        <w:rPr>
          <w:sz w:val="28"/>
          <w:szCs w:val="28"/>
        </w:rPr>
        <w:t xml:space="preserve">, действующие</w:t>
      </w:r>
      <w:r>
        <w:rPr>
          <w:sz w:val="28"/>
          <w:szCs w:val="28"/>
        </w:rPr>
        <w:t xml:space="preserve"> в силу полномочий</w:t>
      </w:r>
      <w:r>
        <w:rPr>
          <w:sz w:val="28"/>
          <w:szCs w:val="28"/>
        </w:rPr>
        <w:t xml:space="preserve">, основанных </w:t>
      </w:r>
      <w:r>
        <w:rPr>
          <w:sz w:val="28"/>
          <w:szCs w:val="28"/>
        </w:rPr>
        <w:t xml:space="preserve">на доверенности или договор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Муниципальная у</w:t>
      </w:r>
      <w:r>
        <w:rPr>
          <w:sz w:val="28"/>
          <w:szCs w:val="28"/>
        </w:rPr>
        <w:t xml:space="preserve">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(далее – реестр услуг) и в </w:t>
      </w:r>
      <w:r>
        <w:rPr>
          <w:sz w:val="28"/>
          <w:szCs w:val="28"/>
        </w:rPr>
        <w:t xml:space="preserve">федеральной государственной информационной системе «Единый портал государственных и муниципальных услуг (функций)» (далее – Единый портал, ЕПГУ).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Стандарт предоставления </w:t>
      </w:r>
      <w:r>
        <w:rPr>
          <w:b/>
          <w:sz w:val="28"/>
          <w:szCs w:val="28"/>
        </w:rPr>
        <w:t xml:space="preserve">муниципальной услуги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</w:rPr>
        <w:t xml:space="preserve">2.1. 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аименование муниципальной услуги: </w:t>
      </w:r>
      <w:r>
        <w:rPr>
          <w:b/>
          <w:sz w:val="28"/>
          <w:szCs w:val="28"/>
        </w:rPr>
        <w:t xml:space="preserve">«</w:t>
      </w:r>
      <w:r>
        <w:rPr>
          <w:sz w:val="28"/>
          <w:szCs w:val="28"/>
        </w:rPr>
        <w:t xml:space="preserve">Включение нестационарного торгового объекта в схему разм</w:t>
      </w:r>
      <w:r>
        <w:rPr>
          <w:sz w:val="28"/>
          <w:szCs w:val="28"/>
        </w:rPr>
        <w:t xml:space="preserve">ещения нестационарных торговых объектов, расположенных на земельных участках, в зданиях, строениях и сооружениях, находящихся в государственной и муниципальной собственности, на территории муниципального образования __________________ Ленинградской области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highlight w:val="white"/>
        </w:rPr>
        <w:t xml:space="preserve">(</w:t>
      </w:r>
      <w:r>
        <w:rPr>
          <w:sz w:val="28"/>
          <w:szCs w:val="28"/>
          <w:highlight w:val="white"/>
        </w:rPr>
        <w:t xml:space="preserve">сокращенное наименование: «Включение нестационарного торгового объекта в схему размещения»</w:t>
      </w:r>
      <w:r>
        <w:rPr>
          <w:sz w:val="28"/>
          <w:szCs w:val="28"/>
          <w:highlight w:val="white"/>
        </w:rPr>
        <w:t xml:space="preserve">).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2.2. </w:t>
      </w:r>
      <w:r>
        <w:rPr>
          <w:sz w:val="28"/>
          <w:szCs w:val="28"/>
          <w:highlight w:val="white"/>
        </w:rPr>
        <w:t xml:space="preserve">Муниципальн</w:t>
      </w:r>
      <w:r>
        <w:rPr>
          <w:sz w:val="28"/>
          <w:szCs w:val="28"/>
        </w:rPr>
        <w:t xml:space="preserve">ую</w:t>
      </w:r>
      <w:r>
        <w:rPr>
          <w:sz w:val="28"/>
          <w:szCs w:val="28"/>
        </w:rPr>
        <w:t xml:space="preserve"> услугу предоставляет: </w:t>
      </w:r>
      <w:r>
        <w:rPr>
          <w:sz w:val="28"/>
          <w:szCs w:val="28"/>
        </w:rPr>
        <w:t xml:space="preserve">_____________ </w:t>
      </w:r>
      <w:r>
        <w:rPr>
          <w:sz w:val="28"/>
          <w:szCs w:val="28"/>
        </w:rPr>
        <w:t xml:space="preserve">ОМСУ.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18"/>
          <w:szCs w:val="28"/>
        </w:rPr>
      </w:pPr>
      <w:r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</w:t>
      </w:r>
      <w:r>
        <w:rPr>
          <w:sz w:val="18"/>
          <w:szCs w:val="28"/>
        </w:rPr>
        <w:t xml:space="preserve">(Администрация ОМСУ)</w:t>
      </w:r>
      <w:r>
        <w:rPr>
          <w:sz w:val="18"/>
          <w:szCs w:val="28"/>
        </w:rPr>
      </w:r>
      <w:r>
        <w:rPr>
          <w:sz w:val="1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Результатом предоставления </w:t>
      </w:r>
      <w:r>
        <w:rPr>
          <w:sz w:val="28"/>
          <w:szCs w:val="28"/>
        </w:rPr>
        <w:t xml:space="preserve">муниципальной услуги</w:t>
      </w:r>
      <w:r>
        <w:rPr>
          <w:sz w:val="28"/>
          <w:szCs w:val="28"/>
        </w:rPr>
        <w:t xml:space="preserve"> является: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1)</w:t>
      </w:r>
      <w:r>
        <w:rPr>
          <w:sz w:val="28"/>
          <w:szCs w:val="28"/>
          <w:lang w:eastAsia="en-US"/>
        </w:rPr>
        <w:t xml:space="preserve"> уведомление о включении нестационарного объекта в схему размещения нестационарных торговых объектов;</w:t>
      </w: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</w:p>
    <w:p>
      <w:pPr>
        <w:ind w:firstLine="709"/>
        <w:jc w:val="both"/>
        <w:widowControl w:val="off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2)</w:t>
      </w:r>
      <w:r>
        <w:rPr>
          <w:sz w:val="28"/>
          <w:szCs w:val="28"/>
          <w:lang w:eastAsia="en-US"/>
        </w:rPr>
        <w:t xml:space="preserve"> уведомление об отказе во включении нестационарного торгового объекта в схему размещения нестационарных торговых объектов</w:t>
      </w:r>
      <w:r>
        <w:rPr>
          <w:sz w:val="28"/>
          <w:szCs w:val="28"/>
          <w:lang w:eastAsia="en-US"/>
        </w:rPr>
        <w:t xml:space="preserve">.</w:t>
      </w: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Результат предоставления муниципальной услуги предоставляется</w:t>
      </w:r>
      <w:r>
        <w:rPr>
          <w:sz w:val="28"/>
          <w:szCs w:val="28"/>
          <w:lang w:eastAsia="ru-RU"/>
        </w:rPr>
        <w:br/>
        <w:t xml:space="preserve">(в соответствии со способом, указанным заявителем при подаче запроса):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при личной явке: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ОМСУ;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без личной явки: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электронной форме через личный кабинет заявителя в государственной информационной системе Ленинградской области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Прием конкурсных заявок от субъектов малого и среднего предпринимательства на предоставление субсидий</w:t>
      </w:r>
      <w:r>
        <w:rPr>
          <w:sz w:val="28"/>
          <w:szCs w:val="28"/>
        </w:rPr>
        <w:t xml:space="preserve">» (</w:t>
      </w:r>
      <w:r>
        <w:rPr>
          <w:sz w:val="28"/>
          <w:szCs w:val="28"/>
          <w:lang w:val="en-US"/>
        </w:rPr>
        <w:t xml:space="preserve">https</w:t>
      </w:r>
      <w:r>
        <w:rPr>
          <w:sz w:val="28"/>
          <w:szCs w:val="28"/>
        </w:rPr>
        <w:t xml:space="preserve">://</w:t>
      </w:r>
      <w:r>
        <w:rPr>
          <w:sz w:val="28"/>
          <w:szCs w:val="28"/>
          <w:lang w:val="en-US"/>
        </w:rPr>
        <w:t xml:space="preserve">ssmsp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en-US"/>
        </w:rPr>
        <w:t xml:space="preserve">lenreg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en-US"/>
        </w:rPr>
        <w:t xml:space="preserve">ru</w:t>
      </w:r>
      <w:r>
        <w:rPr>
          <w:sz w:val="28"/>
          <w:szCs w:val="28"/>
        </w:rPr>
        <w:t xml:space="preserve">/)</w:t>
      </w:r>
      <w:r>
        <w:rPr>
          <w:sz w:val="28"/>
          <w:szCs w:val="28"/>
        </w:rPr>
        <w:t xml:space="preserve"> (далее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ГИС ЛО)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2.4. Срок предоставления муниципальной услуги: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предоставления </w:t>
      </w:r>
      <w:r>
        <w:rPr>
          <w:sz w:val="28"/>
          <w:szCs w:val="28"/>
        </w:rPr>
        <w:t xml:space="preserve">муниципальной услуги</w:t>
      </w:r>
      <w:r>
        <w:rPr>
          <w:sz w:val="28"/>
          <w:szCs w:val="28"/>
        </w:rPr>
        <w:t xml:space="preserve"> составляет </w:t>
      </w:r>
      <w:r>
        <w:rPr>
          <w:sz w:val="28"/>
          <w:szCs w:val="28"/>
          <w:lang w:eastAsia="en-US"/>
        </w:rPr>
        <w:t xml:space="preserve">не более </w:t>
      </w:r>
      <w:r>
        <w:rPr>
          <w:sz w:val="28"/>
          <w:szCs w:val="28"/>
          <w:lang w:eastAsia="en-US"/>
        </w:rPr>
        <w:t xml:space="preserve">15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рабочих</w:t>
      </w:r>
      <w:r>
        <w:rPr>
          <w:sz w:val="28"/>
          <w:szCs w:val="28"/>
          <w:lang w:eastAsia="en-US"/>
        </w:rPr>
        <w:t xml:space="preserve"> дней</w:t>
      </w:r>
      <w:r>
        <w:rPr>
          <w:sz w:val="28"/>
          <w:szCs w:val="28"/>
        </w:rPr>
        <w:t xml:space="preserve"> с даты поступления (регистрации) заявления в ОМСУ.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</w:t>
      </w:r>
      <w:r>
        <w:rPr>
          <w:sz w:val="28"/>
          <w:szCs w:val="28"/>
        </w:rPr>
        <w:t xml:space="preserve">поступления заявления о включении в 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хему</w:t>
      </w:r>
      <w:r>
        <w:rPr>
          <w:sz w:val="28"/>
          <w:szCs w:val="28"/>
        </w:rPr>
        <w:t xml:space="preserve"> размещения нестационарных торговых объектов нестационарного торгового объекта</w:t>
      </w:r>
      <w:r>
        <w:rPr>
          <w:sz w:val="28"/>
          <w:szCs w:val="28"/>
        </w:rPr>
        <w:t xml:space="preserve">, расположенн</w:t>
      </w:r>
      <w:r>
        <w:rPr>
          <w:sz w:val="28"/>
          <w:szCs w:val="28"/>
        </w:rPr>
        <w:t xml:space="preserve">ого</w:t>
      </w:r>
      <w:r>
        <w:rPr>
          <w:sz w:val="28"/>
          <w:szCs w:val="28"/>
        </w:rPr>
        <w:t xml:space="preserve"> на земельных участках, в зданиях, строениях и сооружениях, находящихся в государственной собственности,</w:t>
      </w:r>
      <w:r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рок предоставления муниципальной услуги составляет </w:t>
      </w:r>
      <w:r>
        <w:rPr>
          <w:sz w:val="28"/>
          <w:szCs w:val="28"/>
          <w:lang w:eastAsia="en-US"/>
        </w:rPr>
        <w:t xml:space="preserve">не более </w:t>
      </w:r>
      <w:r>
        <w:rPr>
          <w:sz w:val="28"/>
          <w:szCs w:val="28"/>
          <w:lang w:eastAsia="en-US"/>
        </w:rPr>
        <w:t xml:space="preserve">45</w:t>
      </w:r>
      <w:r>
        <w:rPr>
          <w:sz w:val="28"/>
          <w:szCs w:val="28"/>
          <w:lang w:eastAsia="en-US"/>
        </w:rPr>
        <w:t xml:space="preserve"> рабочих дней</w:t>
      </w:r>
      <w:r>
        <w:rPr>
          <w:sz w:val="28"/>
          <w:szCs w:val="28"/>
        </w:rPr>
        <w:t xml:space="preserve"> с даты поступления (регистрации) заявления в ОМСУ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</w:t>
      </w:r>
      <w:r>
        <w:rPr>
          <w:sz w:val="28"/>
          <w:szCs w:val="28"/>
        </w:rPr>
        <w:t xml:space="preserve">поступления заявления о включении в 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хему</w:t>
      </w:r>
      <w:r>
        <w:rPr>
          <w:sz w:val="28"/>
          <w:szCs w:val="28"/>
        </w:rPr>
        <w:t xml:space="preserve"> размещения нестационарных торговых объектов нестационарного торгового объекта</w:t>
      </w:r>
      <w:r>
        <w:rPr>
          <w:sz w:val="28"/>
          <w:szCs w:val="28"/>
        </w:rPr>
        <w:t xml:space="preserve">, расположенн</w:t>
      </w:r>
      <w:r>
        <w:rPr>
          <w:sz w:val="28"/>
          <w:szCs w:val="28"/>
        </w:rPr>
        <w:t xml:space="preserve">ого</w:t>
      </w:r>
      <w:r>
        <w:rPr>
          <w:sz w:val="28"/>
          <w:szCs w:val="28"/>
        </w:rPr>
        <w:t xml:space="preserve"> на землях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земельных участках, государст</w:t>
      </w:r>
      <w:r>
        <w:rPr>
          <w:sz w:val="28"/>
          <w:szCs w:val="28"/>
        </w:rPr>
        <w:t xml:space="preserve">венная собственность на которые не разграничена, на территории сельского поселения, а также на земельных участках, в зданиях, строениях и сооружениях на территории поселения, находящихся в муниципальной собственности соответствующего муниципального района,</w:t>
      </w:r>
      <w:r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рок предоставления муниципальной услуги составляет </w:t>
      </w:r>
      <w:r>
        <w:rPr>
          <w:sz w:val="28"/>
          <w:szCs w:val="28"/>
          <w:lang w:eastAsia="en-US"/>
        </w:rPr>
        <w:t xml:space="preserve">не более </w:t>
      </w:r>
      <w:r>
        <w:rPr>
          <w:sz w:val="28"/>
          <w:szCs w:val="28"/>
          <w:lang w:eastAsia="en-US"/>
        </w:rPr>
        <w:t xml:space="preserve">25</w:t>
      </w:r>
      <w:r>
        <w:rPr>
          <w:sz w:val="28"/>
          <w:szCs w:val="28"/>
          <w:lang w:eastAsia="en-US"/>
        </w:rPr>
        <w:t xml:space="preserve"> рабочих дней</w:t>
      </w:r>
      <w:r>
        <w:rPr>
          <w:sz w:val="28"/>
          <w:szCs w:val="28"/>
        </w:rPr>
        <w:t xml:space="preserve"> с даты поступления (регистрации) заявления в ОМСУ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о включении в схему размещения нестационарных торговых объектов сезонного нестационарного торгового объекта может быть направлен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заявителем</w:t>
      </w:r>
      <w:r>
        <w:rPr>
          <w:sz w:val="28"/>
          <w:szCs w:val="28"/>
        </w:rPr>
        <w:t xml:space="preserve"> не ранее чем за 3 месяца до начала возможного срока размещения сезонных </w:t>
      </w:r>
      <w:r>
        <w:rPr>
          <w:sz w:val="28"/>
          <w:szCs w:val="28"/>
        </w:rPr>
        <w:t xml:space="preserve">нестационарных торговых объектов</w:t>
      </w:r>
      <w:r>
        <w:rPr>
          <w:sz w:val="28"/>
          <w:szCs w:val="28"/>
        </w:rPr>
        <w:t xml:space="preserve"> в соответствии с пунктом 3.3.3 Порядка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разработки и утверждения органами местного самоуправления муниципальных образований Ленинградской области схем размещения нестационарных торговых объектов, расположенных на земельных участках,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зданиях, строениях и сооружениях, находящихся в государственной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муниципальной собственности</w:t>
      </w:r>
      <w:r>
        <w:rPr>
          <w:sz w:val="28"/>
          <w:szCs w:val="28"/>
        </w:rPr>
        <w:t xml:space="preserve">, утвержденного приказом комитета по развитию малого, среднего бизнеса и потребительского рынка Ленинградской области от 4 октября 2024 года № 10-П</w:t>
      </w:r>
      <w:r>
        <w:rPr>
          <w:sz w:val="28"/>
          <w:szCs w:val="28"/>
        </w:rPr>
        <w:t xml:space="preserve"> (далее – Порядок № 10-П).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2.5. </w:t>
      </w:r>
      <w:r>
        <w:rPr>
          <w:sz w:val="28"/>
          <w:szCs w:val="28"/>
          <w:lang w:eastAsia="ru-RU"/>
        </w:rPr>
        <w:t xml:space="preserve">Размер платы, взимаемой с заявителя при предоставлении государственной услуги, и способы ее взимания.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Взимание платы за предоставление государственной услуги законодательством Российской Федерации не предусмотрено.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ОМСУ составляет не более 15 минут.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2.7. Срок регистрации запроса заявителя о предоставлении муниципальной услуги.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регистрации заявления составляет 1 рабочий день с даты подачи заявления: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1) при личной явке: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709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ОМСУ;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lang w:eastAsia="ru-RU"/>
        </w:rPr>
        <w:t xml:space="preserve">2) без личной явки в электронной форме через личный кабинет заявителя </w:t>
      </w:r>
      <w:r>
        <w:rPr>
          <w:sz w:val="28"/>
          <w:szCs w:val="28"/>
          <w:lang w:eastAsia="ru-RU"/>
        </w:rPr>
        <w:t xml:space="preserve">в </w:t>
      </w:r>
      <w:r>
        <w:rPr>
          <w:sz w:val="28"/>
          <w:szCs w:val="28"/>
          <w:highlight w:val="white"/>
        </w:rPr>
        <w:t xml:space="preserve">ГИС ЛО</w:t>
      </w:r>
      <w:r>
        <w:rPr>
          <w:sz w:val="28"/>
          <w:szCs w:val="28"/>
          <w:highlight w:val="white"/>
          <w:lang w:eastAsia="ru-RU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2.8. Требования к помещениям, в которых предоставляется муниципальная услуга.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помещениям, </w:t>
      </w:r>
      <w:r>
        <w:rPr>
          <w:sz w:val="28"/>
          <w:szCs w:val="28"/>
        </w:rPr>
        <w:t xml:space="preserve">в которых предоставляется муниципальная услуга, в случае обращения заявителя непосредственно в орган, предоставляющий муниципальную услугу, размещены на официальном сайте ОМСУ в информационно-телекоммуникационной сети "Интернет", а также на Едином портале.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2.9. Показатели качества и доступности муниципальной услуги.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Перечень показателей качества и доступности муниципальной услуги размещен на  официальном сайте ОМСУ в информационно-телекоммуникационной сети "Интернет", а также на Едином портале.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2.10. 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widowControl w:val="off"/>
        <w:rPr>
          <w:rFonts w:eastAsiaTheme="minorHAnsi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lang w:eastAsia="en-US"/>
        </w:rPr>
        <w:t xml:space="preserve">Информационная система, используемая для пред</w:t>
      </w:r>
      <w:r>
        <w:rPr>
          <w:rFonts w:eastAsiaTheme="minorHAnsi"/>
          <w:sz w:val="28"/>
          <w:szCs w:val="28"/>
          <w:lang w:eastAsia="en-US"/>
        </w:rPr>
        <w:t xml:space="preserve">оставления муниципальной услуги</w:t>
      </w:r>
      <w:r>
        <w:rPr>
          <w:rFonts w:eastAsiaTheme="minorHAnsi"/>
          <w:sz w:val="28"/>
          <w:szCs w:val="28"/>
          <w:lang w:eastAsia="en-US"/>
        </w:rPr>
        <w:t xml:space="preserve"> – </w:t>
      </w:r>
      <w:r>
        <w:rPr>
          <w:rFonts w:eastAsiaTheme="minorHAnsi"/>
          <w:sz w:val="28"/>
          <w:szCs w:val="28"/>
          <w:lang w:eastAsia="en-US"/>
        </w:rPr>
        <w:t xml:space="preserve">Государственная информационная система Ленинградской области </w:t>
      </w:r>
      <w:r>
        <w:rPr>
          <w:rFonts w:eastAsiaTheme="minorHAnsi"/>
          <w:sz w:val="28"/>
          <w:szCs w:val="28"/>
          <w:lang w:eastAsia="en-US"/>
        </w:rPr>
        <w:t xml:space="preserve">«</w:t>
      </w:r>
      <w:r>
        <w:rPr>
          <w:rFonts w:eastAsiaTheme="minorHAnsi"/>
          <w:sz w:val="28"/>
          <w:szCs w:val="28"/>
          <w:lang w:eastAsia="en-US"/>
        </w:rPr>
        <w:t xml:space="preserve">Прием конкурсных заявок от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с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убъектов малого и среднего предприниматель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ства на предоставление субсидий»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(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ГИС ЛО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)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.</w:t>
      </w:r>
      <w:r>
        <w:rPr>
          <w:rFonts w:eastAsiaTheme="minorHAnsi"/>
          <w:sz w:val="28"/>
          <w:szCs w:val="28"/>
          <w:highlight w:val="white"/>
        </w:rPr>
      </w:r>
    </w:p>
    <w:p>
      <w:pPr>
        <w:ind w:firstLine="567"/>
        <w:jc w:val="both"/>
        <w:widowControl w:val="off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Возможность предоставления муниципальной услуги в многофункциональном центре не предусмотрена.</w:t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567"/>
        <w:jc w:val="both"/>
        <w:widowControl w:val="off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  <w:t xml:space="preserve">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</w:t>
      </w:r>
      <w:r>
        <w:rPr>
          <w:rFonts w:eastAsiaTheme="minorHAnsi"/>
          <w:sz w:val="28"/>
          <w:szCs w:val="28"/>
          <w:lang w:eastAsia="en-US"/>
        </w:rPr>
        <w:t xml:space="preserve">ем, не предусмотрен</w:t>
      </w:r>
      <w:r>
        <w:rPr>
          <w:rFonts w:eastAsiaTheme="minorHAnsi"/>
          <w:sz w:val="28"/>
          <w:szCs w:val="28"/>
          <w:lang w:eastAsia="en-US"/>
        </w:rPr>
        <w:t xml:space="preserve">.</w:t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567"/>
        <w:jc w:val="both"/>
        <w:widowControl w:val="off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  <w:t xml:space="preserve">Возможность выдачи за</w:t>
      </w:r>
      <w:r>
        <w:rPr>
          <w:rFonts w:eastAsiaTheme="minorHAnsi"/>
          <w:sz w:val="28"/>
          <w:szCs w:val="28"/>
          <w:lang w:eastAsia="en-US"/>
        </w:rPr>
        <w:t xml:space="preserve">явителю результата предоставления муниципальной услуги в многофункциональном центре, в том числе выдачи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</w:t>
      </w:r>
      <w:r>
        <w:rPr>
          <w:rFonts w:eastAsiaTheme="minorHAnsi"/>
          <w:sz w:val="28"/>
          <w:szCs w:val="28"/>
          <w:lang w:eastAsia="en-US"/>
        </w:rPr>
        <w:t xml:space="preserve">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услуги, не предусмотрена</w:t>
      </w:r>
      <w:r>
        <w:rPr>
          <w:rFonts w:eastAsiaTheme="minorHAnsi"/>
          <w:sz w:val="28"/>
          <w:szCs w:val="28"/>
          <w:lang w:eastAsia="en-US"/>
        </w:rPr>
        <w:t xml:space="preserve">.</w:t>
      </w:r>
      <w:r/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 Исчерпывающий перечень документов, необходимых для предоставления муниципальной услуги.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</w:t>
      </w:r>
      <w:r>
        <w:rPr>
          <w:sz w:val="28"/>
          <w:szCs w:val="28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Формы заявления и документов приведены в приложении к настоящему регламенту.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  <w:lang w:eastAsia="en-US"/>
        </w:rPr>
        <w:t xml:space="preserve">2.12. Исчерпывающий перечень оснований для отказа в приеме з</w:t>
      </w:r>
      <w:r>
        <w:rPr>
          <w:sz w:val="28"/>
          <w:szCs w:val="28"/>
          <w:lang w:eastAsia="en-US"/>
        </w:rPr>
        <w:t xml:space="preserve">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  <w:r>
        <w:rPr>
          <w:sz w:val="28"/>
          <w:szCs w:val="28"/>
        </w:rPr>
      </w:r>
      <w:r/>
    </w:p>
    <w:p>
      <w:pPr>
        <w:ind w:firstLine="709"/>
        <w:jc w:val="both"/>
        <w:widowControl w:val="off"/>
        <w:rPr>
          <w:sz w:val="28"/>
          <w:szCs w:val="28"/>
          <w:lang w:eastAsia="en-US"/>
        </w:rPr>
      </w:pPr>
      <w:r>
        <w:rPr>
          <w:sz w:val="28"/>
          <w:szCs w:val="28"/>
          <w:lang w:eastAsia="ru-RU"/>
        </w:rPr>
        <w:t xml:space="preserve">Исчерпывающий перечень оснований для отказа в приеме документов, необходимых для предоставления муниципальной услуги:</w:t>
      </w: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</w:p>
    <w:p>
      <w:pPr>
        <w:ind w:firstLine="567"/>
        <w:jc w:val="both"/>
        <w:tabs>
          <w:tab w:val="left" w:pos="567" w:leader="none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1) нарушен срок подачи документов;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tabs>
          <w:tab w:val="left" w:pos="567" w:leader="none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2) заявление подано лицом, не уполномоченным на осуществление таких действий;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tabs>
          <w:tab w:val="left" w:pos="567" w:leader="none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3) 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заявителем;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tabs>
          <w:tab w:val="left" w:pos="567" w:leader="none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4) заявление на получение услуги оформлено не в соответствии с административным регламентом;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tabs>
          <w:tab w:val="left" w:pos="567" w:leader="none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5) представленные заявителем документы не отвечают требованиям, установленным административным регламентом;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tabs>
          <w:tab w:val="left" w:pos="567" w:leader="none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6) заявление с комплектом документов подписаны недействительной электронной подписью;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tabs>
          <w:tab w:val="left" w:pos="567" w:leader="none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7) представленные заявителем документы недействительны/указанные в заявлении сведения недостоверны;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tabs>
          <w:tab w:val="left" w:pos="567" w:leader="none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8) предмет запроса не регламентируется законодательством в рамках муниципальной услуги;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tabs>
          <w:tab w:val="left" w:pos="567" w:leader="none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9) отсутствие права на </w:t>
      </w:r>
      <w:r>
        <w:rPr>
          <w:sz w:val="28"/>
          <w:szCs w:val="28"/>
          <w:lang w:eastAsia="ru-RU"/>
        </w:rPr>
        <w:t xml:space="preserve">получение</w:t>
      </w:r>
      <w:r>
        <w:rPr>
          <w:sz w:val="28"/>
          <w:szCs w:val="28"/>
          <w:lang w:eastAsia="ru-RU"/>
        </w:rPr>
        <w:t xml:space="preserve"> муниципальной услуги.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Основания для приостановления предоставления муниципальной услуги не предусмотрены.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tabs>
          <w:tab w:val="left" w:pos="567" w:leader="none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Исчерпывающий перечень оснований для отказа в предоставлении муниципальной услуги: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1) предлагаемое ме</w:t>
      </w:r>
      <w:r>
        <w:rPr>
          <w:sz w:val="28"/>
          <w:szCs w:val="28"/>
          <w:lang w:eastAsia="ru-RU"/>
        </w:rPr>
        <w:t xml:space="preserve">сто размещения немобильного нестационарного торгового объекта или место остановки мобильного нестационарного торгового объекта не относится к земельным участкам, зданиям, строениям и сооружениям, находящимся в государственной и муниципальной собственности;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2) земельный участок, на котором предлагается разместить нестационарный торговый объект, предоставлен гражданину или юридическому лицу;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3) предлагаемое место размещения немобильного нестационарного торгового объекта или место остановки мобильного нестационарного торгового объекта не соответствует требованиям пунктов 4.1 – 4.2 Порядка № 10-П;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4) в случае, предусмотренном пунктом 3.3.7 Порядка № 10-П, федеральным органом исполнительной вла</w:t>
      </w:r>
      <w:r>
        <w:rPr>
          <w:sz w:val="28"/>
          <w:szCs w:val="28"/>
          <w:lang w:eastAsia="ru-RU"/>
        </w:rPr>
        <w:t xml:space="preserve">сти или органом исполнительной власти субъекта Российской Федерации, осуществляющим полномочия собственника имущества, принято решение об отказе в согласовании включения нестационарного торгового объекта в схему размещения нестационарных торговых объектов;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5) в случае, предусмотренном пунктом 3.3.8 Порядка № 10-П, органом местного самоуправления муниципального района принято решение об отказе в согласовании включения нестационарного торгового объекта в схему размещения нестационарных торговых объектов;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6) включение нестационарного тор</w:t>
      </w:r>
      <w:r>
        <w:rPr>
          <w:sz w:val="28"/>
          <w:szCs w:val="28"/>
          <w:lang w:eastAsia="ru-RU"/>
        </w:rPr>
        <w:t xml:space="preserve">гового объекта в схему размещения нестационарных торговых объектов приведет к невыполнению требования ч. 4 ст. 10 Федерального закона от 28 декабря 2009 года № 381-ФЗ «Об основах государственного регулирования торговой деятельности в Российской Федерации»;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7) в предлагаемом месте размещения немобильного нестационарного торгового объекта в схему размещения нестационарных торговых объектов </w:t>
      </w:r>
      <w:r>
        <w:rPr>
          <w:sz w:val="28"/>
          <w:szCs w:val="28"/>
          <w:lang w:eastAsia="ru-RU"/>
        </w:rPr>
        <w:t xml:space="preserve">внесен иной нестационарный торговый объект, в том числе по ранее поданному заявлению другим заинтересованным лицом;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8) предлагаемое время ра</w:t>
      </w:r>
      <w:r>
        <w:rPr>
          <w:sz w:val="28"/>
          <w:szCs w:val="28"/>
          <w:lang w:eastAsia="ru-RU"/>
        </w:rPr>
        <w:t xml:space="preserve">боты мобильного нестационарного торгового объекта в месте остановки мобильного нестационарного торгового объекта включено в график работы другого мобильного нестационарного торгового объекта, включенного в схему размещения нестационарных торговых объектов.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Основания для отказа в приеме заявления и документов,  основания для отказа в предоставлении муниципальной услуги с учетом категории (признаков) заявителя приведены в приложении к настоящему регламенту (</w:t>
      </w:r>
      <w:hyperlink r:id="rId10" w:tooltip="https://login.consultant.ru/link/?req=doc&amp;base=LAW&amp;n=508991&amp;dst=100124" w:history="1">
        <w:r>
          <w:rPr>
            <w:sz w:val="28"/>
            <w:szCs w:val="28"/>
            <w:lang w:eastAsia="ru-RU"/>
          </w:rPr>
          <w:t xml:space="preserve">таблица № </w:t>
        </w:r>
      </w:hyperlink>
      <w:r>
        <w:rPr>
          <w:sz w:val="28"/>
          <w:szCs w:val="28"/>
          <w:lang w:eastAsia="ru-RU"/>
        </w:rPr>
        <w:t xml:space="preserve">3)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center"/>
        <w:widowControl w:val="off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3. Состав, последовательность и сроки выполнения </w:t>
      </w:r>
      <w:r>
        <w:rPr>
          <w:b/>
          <w:sz w:val="28"/>
          <w:szCs w:val="28"/>
          <w:lang w:eastAsia="ru-RU"/>
        </w:rPr>
      </w:r>
      <w:r>
        <w:rPr>
          <w:b/>
          <w:sz w:val="28"/>
          <w:szCs w:val="28"/>
          <w:lang w:eastAsia="ru-RU"/>
        </w:rPr>
      </w:r>
    </w:p>
    <w:p>
      <w:pPr>
        <w:ind w:firstLine="567"/>
        <w:jc w:val="center"/>
        <w:widowControl w:val="off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административных процедур</w:t>
      </w:r>
      <w:r>
        <w:rPr>
          <w:b/>
          <w:sz w:val="28"/>
          <w:szCs w:val="28"/>
          <w:lang w:eastAsia="ru-RU"/>
        </w:rPr>
      </w:r>
      <w:r>
        <w:rPr>
          <w:b/>
          <w:sz w:val="28"/>
          <w:szCs w:val="28"/>
          <w:lang w:eastAsia="ru-RU"/>
        </w:rPr>
      </w:r>
    </w:p>
    <w:p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center"/>
        <w:widowControl w:val="off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3.1. Перечень осуществляемых при предоставлении </w:t>
      </w:r>
      <w:r>
        <w:rPr>
          <w:b/>
          <w:bCs/>
          <w:sz w:val="28"/>
          <w:szCs w:val="28"/>
          <w:lang w:eastAsia="ru-RU"/>
        </w:rPr>
        <w:t xml:space="preserve">муниципальной</w:t>
      </w:r>
      <w:r>
        <w:rPr>
          <w:b/>
          <w:sz w:val="28"/>
          <w:szCs w:val="28"/>
          <w:lang w:eastAsia="ru-RU"/>
        </w:rPr>
        <w:t xml:space="preserve"> услуги административных процедур:</w:t>
      </w:r>
      <w:r>
        <w:rPr>
          <w:b/>
          <w:sz w:val="28"/>
          <w:szCs w:val="28"/>
          <w:lang w:eastAsia="ru-RU"/>
        </w:rPr>
      </w:r>
      <w:r>
        <w:rPr>
          <w:b/>
          <w:sz w:val="28"/>
          <w:szCs w:val="28"/>
          <w:lang w:eastAsia="ru-RU"/>
        </w:rPr>
      </w:r>
    </w:p>
    <w:p>
      <w:pPr>
        <w:ind w:firstLine="567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а) профилирование заявителя;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б) прием заявления и документов;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в) межведомственное информационное взаимодействие;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д) принятие решения о предоставлении (отказе в предоставлении) муниципальной  услуги;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е) предоставление результата муниципальной услуги.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widowControl w:val="off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  <w:r>
        <w:rPr>
          <w:b/>
          <w:sz w:val="28"/>
          <w:szCs w:val="28"/>
          <w:lang w:eastAsia="ru-RU"/>
        </w:rPr>
      </w:r>
      <w:r>
        <w:rPr>
          <w:b/>
          <w:sz w:val="28"/>
          <w:szCs w:val="28"/>
          <w:lang w:eastAsia="ru-RU"/>
        </w:rPr>
      </w:r>
    </w:p>
    <w:p>
      <w:pPr>
        <w:ind w:firstLine="567"/>
        <w:jc w:val="center"/>
        <w:widowControl w:val="off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3.2. Профилирование заявителя</w:t>
      </w:r>
      <w:r>
        <w:rPr>
          <w:b/>
          <w:sz w:val="28"/>
          <w:szCs w:val="28"/>
          <w:lang w:eastAsia="ru-RU"/>
        </w:rPr>
      </w:r>
      <w:r>
        <w:rPr>
          <w:b/>
          <w:sz w:val="28"/>
          <w:szCs w:val="28"/>
          <w:lang w:eastAsia="ru-RU"/>
        </w:rPr>
      </w:r>
    </w:p>
    <w:p>
      <w:pPr>
        <w:ind w:firstLine="567"/>
        <w:jc w:val="right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</w:t>
      </w:r>
      <w:r>
        <w:rPr>
          <w:sz w:val="28"/>
          <w:szCs w:val="28"/>
          <w:lang w:eastAsia="ru-RU"/>
        </w:rPr>
        <w:t xml:space="preserve">муниципальной</w:t>
      </w:r>
      <w:r>
        <w:rPr>
          <w:rFonts w:eastAsiaTheme="minorHAnsi"/>
          <w:sz w:val="28"/>
          <w:szCs w:val="28"/>
          <w:lang w:eastAsia="en-US"/>
        </w:rPr>
        <w:t xml:space="preserve"> услуги.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Идентификаторы категорий (признаков) заявителей приведены в приложении к настоящему регламенту </w:t>
      </w:r>
      <w:hyperlink r:id="rId11" w:tooltip="https://login.consultant.ru/link/?req=doc&amp;base=SPB&amp;n=316702&amp;dst=101235" w:history="1">
        <w:r>
          <w:rPr>
            <w:rFonts w:eastAsiaTheme="minorHAnsi"/>
            <w:sz w:val="28"/>
            <w:szCs w:val="28"/>
            <w:lang w:eastAsia="en-US"/>
          </w:rPr>
          <w:t xml:space="preserve">(таблица № 1)</w:t>
        </w:r>
      </w:hyperlink>
      <w:r>
        <w:rPr>
          <w:rFonts w:eastAsiaTheme="minorHAnsi"/>
          <w:sz w:val="28"/>
          <w:szCs w:val="28"/>
          <w:lang w:eastAsia="en-US"/>
        </w:rPr>
        <w:t xml:space="preserve">.</w:t>
      </w:r>
      <w:r>
        <w:rPr>
          <w:rFonts w:eastAsiaTheme="minorHAnsi"/>
          <w:sz w:val="28"/>
          <w:szCs w:val="28"/>
        </w:rPr>
      </w:r>
      <w:r>
        <w:rPr>
          <w:rFonts w:eastAsiaTheme="minorHAnsi"/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3.3. Прием запроса и документов и (или) информации, необходимых для предоставления муниципальной услуги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Состав запроса и перечень документов и(или) информации, необходимых для предоставления </w:t>
      </w:r>
      <w:r>
        <w:rPr>
          <w:sz w:val="28"/>
          <w:szCs w:val="28"/>
          <w:lang w:eastAsia="ru-RU"/>
        </w:rPr>
        <w:t xml:space="preserve">муниципальной</w:t>
      </w:r>
      <w:r>
        <w:rPr>
          <w:rFonts w:eastAsiaTheme="minorHAnsi"/>
          <w:sz w:val="28"/>
          <w:szCs w:val="28"/>
          <w:lang w:eastAsia="en-US"/>
        </w:rPr>
        <w:t xml:space="preserve"> услуги в соответствии с категорией (признаками) заявителя, а также способы подачи указанных запроса, документов и(или) информации приведены в приложении к настоящему регламенту </w:t>
      </w:r>
      <w:hyperlink r:id="rId12" w:tooltip="https://login.consultant.ru/link/?req=doc&amp;base=SPB&amp;n=316702&amp;dst=101254" w:history="1">
        <w:r>
          <w:rPr>
            <w:rFonts w:eastAsiaTheme="minorHAnsi"/>
            <w:sz w:val="28"/>
            <w:szCs w:val="28"/>
            <w:lang w:eastAsia="en-US"/>
          </w:rPr>
          <w:t xml:space="preserve">(</w:t>
        </w:r>
        <w:r>
          <w:rPr>
            <w:rFonts w:eastAsiaTheme="minorHAnsi"/>
            <w:sz w:val="28"/>
            <w:szCs w:val="28"/>
            <w:highlight w:val="white"/>
            <w:lang w:eastAsia="en-US"/>
          </w:rPr>
          <w:t xml:space="preserve">таблица № 2</w:t>
        </w:r>
        <w:r>
          <w:rPr>
            <w:rFonts w:eastAsiaTheme="minorHAnsi"/>
            <w:sz w:val="28"/>
            <w:szCs w:val="28"/>
            <w:lang w:eastAsia="en-US"/>
          </w:rPr>
          <w:t xml:space="preserve">)</w:t>
        </w:r>
      </w:hyperlink>
      <w:r>
        <w:rPr>
          <w:rFonts w:eastAsiaTheme="minorHAnsi"/>
          <w:sz w:val="28"/>
          <w:szCs w:val="28"/>
          <w:lang w:eastAsia="en-US"/>
        </w:rPr>
        <w:t xml:space="preserve">.</w:t>
      </w:r>
      <w:r>
        <w:rPr>
          <w:rFonts w:eastAsiaTheme="minorHAnsi"/>
          <w:sz w:val="28"/>
          <w:szCs w:val="28"/>
        </w:rPr>
      </w:r>
      <w:r>
        <w:rPr>
          <w:rFonts w:eastAsiaTheme="minorHAnsi"/>
          <w:sz w:val="28"/>
          <w:szCs w:val="28"/>
        </w:rPr>
      </w:r>
    </w:p>
    <w:p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</w:t>
      </w:r>
      <w:r>
        <w:rPr>
          <w:rFonts w:eastAsiaTheme="minorHAnsi"/>
          <w:sz w:val="28"/>
          <w:szCs w:val="28"/>
          <w:lang w:eastAsia="en-US"/>
        </w:rPr>
        <w:t xml:space="preserve">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</w:t>
      </w:r>
      <w:r>
        <w:rPr>
          <w:rFonts w:eastAsiaTheme="minorHAnsi"/>
          <w:sz w:val="28"/>
          <w:szCs w:val="28"/>
          <w:lang w:eastAsia="en-US"/>
        </w:rPr>
        <w:t xml:space="preserve">енном органе с использованием информационных технологий, предусмотренных статьями 9, 10 и 14 Федерального закона от 29 декабря 2022 года № 572-ФЗ «Об осуществлении идентификации и (или) аутентификации физических лиц с использованием биометрических персонал</w:t>
      </w:r>
      <w:r>
        <w:rPr>
          <w:rFonts w:eastAsiaTheme="minorHAnsi"/>
          <w:sz w:val="28"/>
          <w:szCs w:val="28"/>
          <w:lang w:eastAsia="en-US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– Федеральный закон № 572-ФЗ) (при наличии технической возможности).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При предоставлении муниципальной услуги в электронной форме идентификация и аутентификация могут осуществляться посредством: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eastAsiaTheme="minorHAnsi"/>
          <w:sz w:val="28"/>
          <w:szCs w:val="28"/>
          <w:lang w:eastAsia="en-US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 информационных технологий, предусмотренных статьями 9, 10 и 14 Федерального закона № 572-ФЗ.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shd w:val="clear" w:color="ffffff" w:themeColor="background1" w:fill="ffffff" w:themeFill="background1"/>
        <w:rPr>
          <w:rFonts w:eastAsiaTheme="minorHAnsi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lang w:eastAsia="en-US"/>
        </w:rPr>
        <w:t xml:space="preserve">Основания для принятия решения об отказе в приеме запроса и документов и(или) информации приведены в приложении к настоящему регламенту </w:t>
      </w:r>
      <w:hyperlink r:id="rId13" w:tooltip="https://login.consultant.ru/link/?req=doc&amp;base=SPB&amp;n=316702&amp;dst=101310" w:history="1">
        <w:r>
          <w:rPr>
            <w:rFonts w:eastAsiaTheme="minorHAnsi"/>
            <w:sz w:val="28"/>
            <w:szCs w:val="28"/>
            <w:highlight w:val="white"/>
            <w:lang w:eastAsia="en-US"/>
          </w:rPr>
          <w:t xml:space="preserve">(таблица № 3)</w:t>
        </w:r>
      </w:hyperlink>
      <w:r>
        <w:rPr>
          <w:rFonts w:eastAsiaTheme="minorHAnsi"/>
          <w:sz w:val="28"/>
          <w:szCs w:val="28"/>
          <w:highlight w:val="white"/>
          <w:lang w:eastAsia="en-US"/>
        </w:rPr>
        <w:t xml:space="preserve">.</w:t>
      </w:r>
      <w:r>
        <w:rPr>
          <w:rFonts w:eastAsiaTheme="minorHAnsi"/>
          <w:sz w:val="28"/>
          <w:szCs w:val="28"/>
          <w:highlight w:val="white"/>
        </w:rPr>
      </w:r>
      <w:r>
        <w:rPr>
          <w:rFonts w:eastAsiaTheme="minorHAnsi"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Возможность приема органом, предоставляющим муни</w:t>
      </w:r>
      <w:r>
        <w:rPr>
          <w:sz w:val="28"/>
          <w:szCs w:val="28"/>
          <w:lang w:eastAsia="ru-RU"/>
        </w:rPr>
        <w:t xml:space="preserve">ципальную услугу,  запроса и документов и (или) информации, необходимых для предоставления муниципальной услуги, </w:t>
      </w:r>
      <w:r>
        <w:rPr>
          <w:sz w:val="28"/>
          <w:szCs w:val="28"/>
          <w:lang w:eastAsia="ru-RU"/>
        </w:rPr>
        <w:t xml:space="preserve">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  <w:t xml:space="preserve">.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  <w:lang w:eastAsia="ru-RU"/>
        </w:rPr>
        <w:t xml:space="preserve">Срок регистрации запроса и документов и(или) информации, необходимых для предоставления муниципальной услуги, в органе, пр</w:t>
      </w:r>
      <w:r>
        <w:rPr>
          <w:rFonts w:eastAsiaTheme="minorHAnsi"/>
          <w:sz w:val="28"/>
          <w:szCs w:val="28"/>
          <w:lang w:eastAsia="en-US"/>
        </w:rPr>
        <w:t xml:space="preserve">едоставляющем </w:t>
      </w:r>
      <w:r>
        <w:rPr>
          <w:sz w:val="28"/>
          <w:szCs w:val="28"/>
          <w:lang w:eastAsia="ru-RU"/>
        </w:rPr>
        <w:t xml:space="preserve">муниципальную</w:t>
      </w:r>
      <w:r>
        <w:rPr>
          <w:rFonts w:eastAsiaTheme="minorHAnsi"/>
          <w:sz w:val="28"/>
          <w:szCs w:val="28"/>
          <w:lang w:eastAsia="en-US"/>
        </w:rPr>
        <w:t xml:space="preserve"> услугу, составляет: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при</w:t>
      </w:r>
      <w:r>
        <w:rPr>
          <w:rFonts w:eastAsiaTheme="minorHAnsi"/>
          <w:sz w:val="28"/>
          <w:szCs w:val="28"/>
          <w:lang w:eastAsia="en-US"/>
        </w:rPr>
        <w:t xml:space="preserve"> личном обращении в уполномоченный орган, при направлении запроса в форме электронного документа посредством ГИС ЛО - в день поступления запроса или на следующий рабочий день (в случае направления документов в нерабочее время, в выходные, праздничные дни).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3.4. Межведомственное информационное взаимодействие</w:t>
      </w:r>
      <w:r>
        <w:rPr>
          <w:rFonts w:eastAsiaTheme="minorHAnsi"/>
          <w:b/>
          <w:bCs/>
          <w:sz w:val="28"/>
          <w:szCs w:val="28"/>
          <w:lang w:eastAsia="en-US"/>
        </w:rPr>
      </w:r>
      <w:r>
        <w:rPr>
          <w:rFonts w:eastAsiaTheme="minorHAnsi"/>
          <w:b/>
          <w:bCs/>
          <w:sz w:val="28"/>
          <w:szCs w:val="28"/>
          <w:lang w:eastAsia="en-US"/>
        </w:rPr>
      </w:r>
    </w:p>
    <w:p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8"/>
        <w:jc w:val="both"/>
        <w:rPr>
          <w:rFonts w:eastAsiaTheme="minorHAnsi"/>
          <w:sz w:val="28"/>
          <w:szCs w:val="28"/>
          <w:highlight w:val="yellow"/>
        </w:rPr>
      </w:pPr>
      <w:r>
        <w:rPr>
          <w:rFonts w:eastAsiaTheme="minorHAnsi"/>
          <w:sz w:val="28"/>
          <w:szCs w:val="28"/>
          <w:lang w:eastAsia="en-US"/>
        </w:rPr>
        <w:t xml:space="preserve">Для получения муниципальной услуги направление межведомственных информационных запросов</w:t>
      </w:r>
      <w:r>
        <w:rPr>
          <w:rFonts w:eastAsiaTheme="minorHAnsi"/>
          <w:sz w:val="28"/>
          <w:szCs w:val="28"/>
          <w:lang w:eastAsia="en-US"/>
        </w:rPr>
        <w:t xml:space="preserve"> осуществляется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в автоматическом режиме посредством ГИС ЛО.</w:t>
      </w:r>
      <w:r>
        <w:rPr>
          <w:rFonts w:eastAsiaTheme="minorHAnsi"/>
          <w:sz w:val="28"/>
          <w:szCs w:val="28"/>
          <w:highlight w:val="yellow"/>
        </w:rPr>
      </w:r>
      <w:r>
        <w:rPr>
          <w:rFonts w:eastAsiaTheme="minorHAnsi"/>
          <w:sz w:val="28"/>
          <w:szCs w:val="28"/>
          <w:highlight w:val="yellow"/>
        </w:rPr>
      </w:r>
    </w:p>
    <w:p>
      <w:pPr>
        <w:ind w:firstLine="708"/>
        <w:jc w:val="both"/>
        <w:rPr>
          <w:rFonts w:eastAsiaTheme="minorHAnsi"/>
          <w:sz w:val="28"/>
          <w:szCs w:val="28"/>
          <w:highlight w:val="yellow"/>
        </w:rPr>
      </w:pPr>
      <w:r>
        <w:rPr>
          <w:rFonts w:eastAsiaTheme="minorHAnsi"/>
          <w:sz w:val="28"/>
          <w:szCs w:val="28"/>
          <w:highlight w:val="yellow"/>
          <w:lang w:eastAsia="en-US"/>
        </w:rPr>
      </w:r>
      <w:r>
        <w:rPr>
          <w:rFonts w:eastAsiaTheme="minorHAnsi"/>
          <w:sz w:val="28"/>
          <w:szCs w:val="28"/>
          <w:highlight w:val="yellow"/>
        </w:rPr>
      </w:r>
      <w:r>
        <w:rPr>
          <w:rFonts w:eastAsiaTheme="minorHAnsi"/>
          <w:sz w:val="28"/>
          <w:szCs w:val="28"/>
          <w:highlight w:val="yellow"/>
        </w:rPr>
      </w:r>
    </w:p>
    <w:p>
      <w:pPr>
        <w:jc w:val="center"/>
        <w:spacing w:before="280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3.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5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. Принятие решения о предоставлении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(отказе в предоставлении) 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муниципальной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283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</w:r>
      <w:r>
        <w:rPr>
          <w:rFonts w:eastAsiaTheme="minorHAnsi"/>
          <w:bCs/>
          <w:sz w:val="28"/>
          <w:szCs w:val="28"/>
          <w:lang w:eastAsia="en-US"/>
        </w:rPr>
      </w:r>
      <w:r>
        <w:rPr>
          <w:rFonts w:eastAsiaTheme="minorHAnsi"/>
          <w:bCs/>
          <w:sz w:val="28"/>
          <w:szCs w:val="28"/>
          <w:lang w:eastAsia="en-US"/>
        </w:rPr>
      </w:r>
    </w:p>
    <w:p>
      <w:pPr>
        <w:ind w:firstLine="283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Основания для отказа в предоставлении муниципальной услуги приведены в приложении к настоящему регламенту (таблица </w:t>
      </w:r>
      <w:r>
        <w:rPr>
          <w:rFonts w:eastAsiaTheme="minorHAnsi"/>
          <w:bCs/>
          <w:sz w:val="28"/>
          <w:szCs w:val="28"/>
          <w:lang w:eastAsia="en-US"/>
        </w:rPr>
        <w:t xml:space="preserve">№</w:t>
      </w:r>
      <w:r>
        <w:rPr>
          <w:rFonts w:eastAsiaTheme="minorHAnsi"/>
          <w:bCs/>
          <w:sz w:val="28"/>
          <w:szCs w:val="28"/>
          <w:lang w:eastAsia="en-US"/>
        </w:rPr>
        <w:t xml:space="preserve"> 3)</w:t>
      </w:r>
      <w:r>
        <w:rPr>
          <w:rFonts w:eastAsiaTheme="minorHAnsi"/>
          <w:bCs/>
          <w:sz w:val="28"/>
          <w:szCs w:val="28"/>
          <w:lang w:eastAsia="en-US"/>
        </w:rPr>
        <w:t xml:space="preserve">.</w:t>
      </w:r>
      <w:r>
        <w:rPr>
          <w:rFonts w:eastAsiaTheme="minorHAnsi"/>
          <w:bCs/>
          <w:sz w:val="28"/>
          <w:szCs w:val="28"/>
          <w:lang w:eastAsia="en-US"/>
        </w:rPr>
      </w:r>
      <w:r>
        <w:rPr>
          <w:rFonts w:eastAsiaTheme="minorHAnsi"/>
          <w:bCs/>
          <w:sz w:val="28"/>
          <w:szCs w:val="28"/>
          <w:lang w:eastAsia="en-US"/>
        </w:rPr>
      </w:r>
    </w:p>
    <w:p>
      <w:pPr>
        <w:ind w:firstLine="283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Принятие решения о предоставлении (об отказе в предоставлении) муниципальной услуги осуществляется в срок, не превышающий </w:t>
      </w:r>
      <w:r>
        <w:rPr>
          <w:rFonts w:eastAsiaTheme="minorHAnsi"/>
          <w:bCs/>
          <w:sz w:val="28"/>
          <w:szCs w:val="28"/>
          <w:lang w:eastAsia="en-US"/>
        </w:rPr>
        <w:t xml:space="preserve">1</w:t>
      </w:r>
      <w:r>
        <w:rPr>
          <w:rFonts w:eastAsiaTheme="minorHAnsi"/>
          <w:bCs/>
          <w:sz w:val="28"/>
          <w:szCs w:val="28"/>
          <w:lang w:eastAsia="en-US"/>
        </w:rPr>
        <w:t xml:space="preserve">5</w:t>
      </w:r>
      <w:r>
        <w:rPr>
          <w:rFonts w:eastAsiaTheme="minorHAnsi"/>
          <w:bCs/>
          <w:sz w:val="28"/>
          <w:szCs w:val="28"/>
          <w:lang w:eastAsia="en-US"/>
        </w:rPr>
        <w:t xml:space="preserve"> рабоч</w:t>
      </w:r>
      <w:r>
        <w:rPr>
          <w:rFonts w:eastAsiaTheme="minorHAnsi"/>
          <w:bCs/>
          <w:sz w:val="28"/>
          <w:szCs w:val="28"/>
          <w:lang w:eastAsia="en-US"/>
        </w:rPr>
        <w:t xml:space="preserve">их</w:t>
      </w:r>
      <w:r>
        <w:rPr>
          <w:rFonts w:eastAsiaTheme="minorHAnsi"/>
          <w:bCs/>
          <w:sz w:val="28"/>
          <w:szCs w:val="28"/>
          <w:lang w:eastAsia="en-US"/>
        </w:rPr>
        <w:t xml:space="preserve"> дн</w:t>
      </w:r>
      <w:r>
        <w:rPr>
          <w:rFonts w:eastAsiaTheme="minorHAnsi"/>
          <w:bCs/>
          <w:sz w:val="28"/>
          <w:szCs w:val="28"/>
          <w:lang w:eastAsia="en-US"/>
        </w:rPr>
        <w:t xml:space="preserve">ей</w:t>
      </w:r>
      <w:r>
        <w:rPr>
          <w:rFonts w:eastAsiaTheme="minorHAnsi"/>
          <w:bCs/>
          <w:sz w:val="28"/>
          <w:szCs w:val="28"/>
          <w:lang w:eastAsia="en-US"/>
        </w:rPr>
        <w:t xml:space="preserve"> с даты получения уполномоченным органом всех сведений, необходимых для принятия решения</w:t>
      </w:r>
      <w:r>
        <w:rPr>
          <w:rFonts w:eastAsiaTheme="minorHAnsi"/>
          <w:bCs/>
          <w:sz w:val="28"/>
          <w:szCs w:val="28"/>
          <w:lang w:eastAsia="en-US"/>
        </w:rPr>
        <w:t xml:space="preserve">.</w:t>
      </w:r>
      <w:r>
        <w:rPr>
          <w:rFonts w:eastAsiaTheme="minorHAnsi"/>
          <w:bCs/>
          <w:sz w:val="28"/>
          <w:szCs w:val="28"/>
          <w:lang w:eastAsia="en-US"/>
        </w:rPr>
      </w:r>
      <w:r>
        <w:rPr>
          <w:rFonts w:eastAsiaTheme="minorHAnsi"/>
          <w:bCs/>
          <w:sz w:val="28"/>
          <w:szCs w:val="28"/>
          <w:lang w:eastAsia="en-US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567"/>
        <w:jc w:val="center"/>
        <w:widowControl w:val="off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3.</w:t>
      </w:r>
      <w:r>
        <w:rPr>
          <w:b/>
          <w:sz w:val="28"/>
          <w:szCs w:val="28"/>
          <w:lang w:eastAsia="ru-RU"/>
        </w:rPr>
        <w:t xml:space="preserve">6</w:t>
      </w:r>
      <w:r>
        <w:rPr>
          <w:b/>
          <w:sz w:val="28"/>
          <w:szCs w:val="28"/>
          <w:lang w:eastAsia="ru-RU"/>
        </w:rPr>
        <w:t xml:space="preserve">. Предоставление результата муниципальной услуги</w:t>
      </w:r>
      <w:r>
        <w:rPr>
          <w:b/>
          <w:sz w:val="28"/>
          <w:szCs w:val="28"/>
          <w:lang w:eastAsia="ru-RU"/>
        </w:rPr>
      </w:r>
      <w:r>
        <w:rPr>
          <w:b/>
          <w:sz w:val="28"/>
          <w:szCs w:val="28"/>
          <w:lang w:eastAsia="ru-RU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Результат предоставления муниципальной услуги предоставляется (в соответствии со способом, указанным заявителем при подаче заявления и документов), в течение не более 3 рабочих дней со дня принятия решения </w:t>
      </w:r>
      <w:r>
        <w:rPr>
          <w:sz w:val="28"/>
          <w:szCs w:val="28"/>
        </w:rPr>
        <w:t xml:space="preserve">способом, указанным в заявлении, </w:t>
      </w:r>
      <w:r>
        <w:rPr>
          <w:sz w:val="28"/>
          <w:szCs w:val="28"/>
        </w:rPr>
        <w:t xml:space="preserve">а также в личный кабинет заявителя в ГИС ЛО.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Возможность предоставления уполномоченным органом результата муниципальной услуги по выбору заявителя независимо от его места нахождения не предусмотрена.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4. Способы информирования заявителя 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об изменении статуса рассмотрения запроса 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о предоставлении муниципальной услуги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Перечень способов информирования заявителя об изменении статуса рассмотрения заявления: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а) посредством Единого портала.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 w:clear="all"/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Style w:val="866"/>
        <w:tblW w:w="5000" w:type="pct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10137"/>
      </w:tblGrid>
      <w:tr>
        <w:tblPrEx/>
        <w:trPr/>
        <w:tc>
          <w:tcPr>
            <w:shd w:val="clear" w:color="ffffff" w:fill="ffffff"/>
            <w:tcW w:w="2803" w:type="pct"/>
            <w:textDirection w:val="lrTb"/>
            <w:noWrap w:val="false"/>
          </w:tcPr>
          <w:p>
            <w:pPr>
              <w:jc w:val="right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приложение</w:t>
            </w:r>
            <w:r>
              <w:rPr>
                <w:caps/>
                <w:sz w:val="28"/>
                <w:szCs w:val="28"/>
              </w:rPr>
            </w:r>
            <w:r>
              <w:rPr>
                <w:cap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ffffff" w:fill="ffffff"/>
            <w:tcW w:w="2803" w:type="pct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Административному регламенту</w:t>
            </w:r>
            <w:r>
              <w:t xml:space="preserve">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 «__» _____ 2026 года № ___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ПЕРЕЧЕНЬ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условных обозначений и сокращений,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Идентификаторы категорий (признаков) заявителей,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Исчерпывающий перечень документов,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необходимых для предоставлении муниципальной услуги,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Исчерпывающий перечень оснований для отказа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в приеме запроса о предоставлении муниципальной услуги и документов,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необходимых для предоставления услуги,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оснований для приостановления предоставления муниципальной услуги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или отказа в предоставлении муниципальной услуги,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Формы запроса о предоставлении муниципальной услуги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и документов, необходимых для предоставления муниципальной услуги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4"/>
        <w:ind w:left="1428" w:firstLine="696"/>
        <w:widowControl w:val="off"/>
        <w:rPr>
          <w:b/>
          <w:bCs/>
          <w:sz w:val="24"/>
          <w:szCs w:val="24"/>
        </w:rPr>
        <w:outlineLvl w:val="2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64"/>
        <w:ind w:left="1428" w:firstLine="696"/>
        <w:widowControl w:val="off"/>
        <w:rPr>
          <w:b/>
          <w:bCs/>
          <w:sz w:val="24"/>
          <w:szCs w:val="24"/>
        </w:rPr>
        <w:outlineLvl w:val="2"/>
      </w:pPr>
      <w:r>
        <w:rPr>
          <w:b/>
          <w:sz w:val="24"/>
          <w:szCs w:val="24"/>
          <w:lang w:eastAsia="ru-RU"/>
        </w:rPr>
        <w:t xml:space="preserve">I. Перечень условных обозначений и сокращений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both"/>
        <w:widowControl w:val="off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540"/>
        <w:jc w:val="both"/>
        <w:widowControl w:val="off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1. Условные сокращения: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540"/>
        <w:jc w:val="both"/>
        <w:widowControl w:val="off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а) Единый портал – Единый портал государственных и муниципальных услуг (функций);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540"/>
        <w:jc w:val="both"/>
        <w:widowControl w:val="off"/>
        <w:rPr>
          <w:bCs/>
          <w:sz w:val="28"/>
          <w:szCs w:val="28"/>
          <w:lang w:eastAsia="ru-RU"/>
        </w:rPr>
      </w:pPr>
      <w:r>
        <w:rPr>
          <w:sz w:val="24"/>
          <w:szCs w:val="24"/>
          <w:lang w:eastAsia="ru-RU"/>
        </w:rPr>
        <w:t xml:space="preserve">б) ОМСУ – органы местного самоуправления</w:t>
      </w:r>
      <w:r>
        <w:rPr>
          <w:bCs/>
          <w:sz w:val="28"/>
          <w:szCs w:val="28"/>
          <w:lang w:eastAsia="ru-RU"/>
        </w:rPr>
      </w:r>
      <w:r>
        <w:rPr>
          <w:bCs/>
          <w:sz w:val="28"/>
          <w:szCs w:val="28"/>
          <w:lang w:eastAsia="ru-RU"/>
        </w:rPr>
      </w:r>
    </w:p>
    <w:p>
      <w:pPr>
        <w:ind w:firstLine="540"/>
        <w:jc w:val="both"/>
        <w:widowControl w:val="off"/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в) </w:t>
      </w:r>
      <w:r>
        <w:rPr>
          <w:sz w:val="24"/>
          <w:szCs w:val="24"/>
          <w:lang w:eastAsia="ru-RU"/>
        </w:rPr>
        <w:t xml:space="preserve">Порядок № 10-П</w:t>
      </w:r>
      <w:r>
        <w:rPr>
          <w:sz w:val="24"/>
          <w:szCs w:val="24"/>
          <w:lang w:eastAsia="ru-RU"/>
        </w:rPr>
        <w:t xml:space="preserve"> – </w:t>
      </w:r>
      <w:r>
        <w:rPr>
          <w:sz w:val="24"/>
          <w:szCs w:val="24"/>
          <w:lang w:eastAsia="ru-RU"/>
        </w:rPr>
        <w:t xml:space="preserve">Порядок разработки и утверждения органам</w:t>
      </w:r>
      <w:r>
        <w:rPr>
          <w:sz w:val="24"/>
          <w:szCs w:val="24"/>
          <w:lang w:eastAsia="ru-RU"/>
        </w:rPr>
        <w:t xml:space="preserve">и местного самоуправления муниципальных образований Ленинградской области схем размещения нестационарных торговых объектов, расположенных на земельных участках, в зданиях, строениях и сооружениях, находящихся в государственной и муниципальной собственности</w:t>
      </w:r>
      <w:r>
        <w:rPr>
          <w:sz w:val="24"/>
          <w:szCs w:val="24"/>
          <w:lang w:eastAsia="ru-RU"/>
        </w:rPr>
        <w:t xml:space="preserve">, утвержденный </w:t>
      </w:r>
      <w:r>
        <w:rPr>
          <w:sz w:val="24"/>
          <w:szCs w:val="24"/>
          <w:lang w:eastAsia="ru-RU"/>
        </w:rPr>
        <w:t xml:space="preserve">приказом комитета по развитию малого, среднего бизнеса и потребительского рынка Ленинградской области от 04.10.2024 № 10-п</w:t>
      </w:r>
      <w:r>
        <w:rPr>
          <w:sz w:val="24"/>
          <w:szCs w:val="24"/>
          <w:lang w:eastAsia="ru-RU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widowControl w:val="off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540"/>
        <w:jc w:val="both"/>
        <w:widowControl w:val="off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2. Условные обозначения: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540"/>
        <w:jc w:val="both"/>
        <w:widowControl w:val="off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а) </w:t>
      </w:r>
      <w:r>
        <w:rPr>
          <w:sz w:val="24"/>
          <w:szCs w:val="24"/>
        </w:rPr>
        <w:t xml:space="preserve">ГИС ЛО</w:t>
      </w:r>
      <w:r>
        <w:rPr>
          <w:sz w:val="24"/>
          <w:szCs w:val="24"/>
          <w:lang w:eastAsia="ru-RU"/>
        </w:rPr>
        <w:t xml:space="preserve"> – документы подаются посредством </w:t>
      </w:r>
      <w:r>
        <w:rPr>
          <w:sz w:val="24"/>
          <w:szCs w:val="24"/>
        </w:rPr>
        <w:t xml:space="preserve">ГИС ЛО</w:t>
      </w:r>
      <w:r>
        <w:rPr>
          <w:sz w:val="24"/>
          <w:szCs w:val="24"/>
          <w:lang w:eastAsia="ru-RU"/>
        </w:rPr>
        <w:t xml:space="preserve">;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540"/>
        <w:jc w:val="both"/>
        <w:widowControl w:val="off"/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б) Л – документы подаются лично в ОМСУ</w:t>
      </w:r>
      <w:r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(</w:t>
      </w:r>
      <w:r>
        <w:rPr>
          <w:sz w:val="24"/>
          <w:szCs w:val="24"/>
        </w:rPr>
        <w:t xml:space="preserve">заявление заполняется в электронном формате при помощи технических средств ГИС ЛО. В случае личного обращения в ОМСУ заявление заполняется в ГИС ЛО должностным лицом ОМСУ, осуществляющим прием документов)</w:t>
      </w:r>
      <w:r>
        <w:rPr>
          <w:sz w:val="24"/>
          <w:szCs w:val="24"/>
          <w:lang w:eastAsia="ru-RU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widowControl w:val="off"/>
        <w:rPr>
          <w:sz w:val="24"/>
          <w:szCs w:val="24"/>
        </w:rPr>
      </w:pPr>
      <w:r>
        <w:rPr>
          <w:bCs/>
          <w:sz w:val="24"/>
          <w:szCs w:val="24"/>
          <w:lang w:eastAsia="ru-RU"/>
        </w:rPr>
        <w:t xml:space="preserve">в</w:t>
      </w:r>
      <w:r>
        <w:rPr>
          <w:bCs/>
          <w:sz w:val="24"/>
          <w:szCs w:val="24"/>
          <w:lang w:eastAsia="ru-RU"/>
        </w:rPr>
        <w:t xml:space="preserve">) [Все] – документы представляются всеми заявителями, обращающимися за получением муниципальной услуги;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widowControl w:val="off"/>
        <w:rPr>
          <w:bCs/>
          <w:sz w:val="28"/>
          <w:szCs w:val="28"/>
        </w:rPr>
      </w:pPr>
      <w:r>
        <w:rPr>
          <w:bCs/>
          <w:sz w:val="24"/>
          <w:szCs w:val="24"/>
          <w:lang w:eastAsia="ru-RU"/>
        </w:rPr>
        <w:t xml:space="preserve">г</w:t>
      </w:r>
      <w:r>
        <w:rPr>
          <w:bCs/>
          <w:sz w:val="24"/>
          <w:szCs w:val="24"/>
          <w:lang w:eastAsia="ru-RU"/>
        </w:rPr>
        <w:t xml:space="preserve">) Д(1) – документы представляются в одном экземпляре.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firstLine="540"/>
        <w:jc w:val="both"/>
        <w:widowControl w:val="off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II. Идентификаторы категорий (признаков) заявителей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567"/>
        <w:jc w:val="right"/>
        <w:widowControl w:val="off"/>
        <w:rPr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Таблица № 1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tbl>
      <w:tblPr>
        <w:tblStyle w:val="866"/>
        <w:tblpPr w:horzAnchor="page" w:tblpX="1367" w:vertAnchor="page" w:tblpY="3383" w:leftFromText="181" w:topFromText="0" w:rightFromText="181" w:bottomFromText="0"/>
        <w:tblW w:w="9180" w:type="dxa"/>
        <w:tblLook w:val="04A0" w:firstRow="1" w:lastRow="0" w:firstColumn="1" w:lastColumn="0" w:noHBand="0" w:noVBand="1"/>
      </w:tblPr>
      <w:tblGrid>
        <w:gridCol w:w="2628"/>
        <w:gridCol w:w="4230"/>
        <w:gridCol w:w="2322"/>
      </w:tblGrid>
      <w:tr>
        <w:tblPrEx/>
        <w:trPr>
          <w:trHeight w:val="350"/>
        </w:trPr>
        <w:tc>
          <w:tcPr>
            <w:tcW w:w="262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Перечень результатов предоставления муниципальной услуги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230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Перечень отельных категорий (признаков) заявителей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32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  <w:t xml:space="preserve">Идентификаторы категорий (признаков) заявителей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71"/>
        </w:trPr>
        <w:tc>
          <w:tcPr>
            <w:tcW w:w="2628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Включение нестационарного торгового объекта в схему размещения нестационарных торговых объектов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230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Юридическое лицо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3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А1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57"/>
        </w:trPr>
        <w:tc>
          <w:tcPr>
            <w:tcW w:w="2628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230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И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ндивидуальны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й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предпринимател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ь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3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А2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27"/>
        </w:trPr>
        <w:tc>
          <w:tcPr>
            <w:tcW w:w="2628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230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Самозанятый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3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А3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III. Исчерпывающий перечень документов, 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необходимых для предоставления муниципальной услуги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right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Таблица 2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2"/>
        <w:gridCol w:w="1627"/>
        <w:gridCol w:w="2551"/>
        <w:gridCol w:w="2977"/>
        <w:gridCol w:w="2268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14:ligatures w14:val="none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№</w:t>
            </w:r>
            <w:r>
              <w:rPr>
                <w:b/>
                <w:bCs/>
                <w:sz w:val="24"/>
                <w:szCs w:val="24"/>
                <w14:ligatures w14:val="none"/>
              </w:rPr>
            </w:r>
            <w:r>
              <w:rPr>
                <w:b/>
                <w:bCs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14:ligatures w14:val="none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Идентификаторы категорий (признаков) заявителей</w:t>
            </w:r>
            <w:r>
              <w:rPr>
                <w:b/>
                <w:bCs/>
                <w:sz w:val="24"/>
                <w:szCs w:val="24"/>
                <w14:ligatures w14:val="none"/>
              </w:rPr>
            </w:r>
            <w:r>
              <w:rPr>
                <w:b/>
                <w:bCs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14:ligatures w14:val="none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Перечень необходимых для предоставления муниципальной услуги документов</w:t>
            </w:r>
            <w:r>
              <w:rPr>
                <w:b/>
                <w:bCs/>
                <w:sz w:val="24"/>
                <w:szCs w:val="24"/>
                <w14:ligatures w14:val="none"/>
              </w:rPr>
            </w:r>
            <w:r>
              <w:rPr>
                <w:b/>
                <w:bCs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14:ligatures w14:val="none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Способы подачи документов, требования к представлению документов</w:t>
            </w:r>
            <w:r>
              <w:rPr>
                <w:b/>
                <w:bCs/>
                <w:sz w:val="24"/>
                <w:szCs w:val="24"/>
                <w14:ligatures w14:val="none"/>
              </w:rPr>
            </w:r>
            <w:r>
              <w:rPr>
                <w:b/>
                <w:bCs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14:ligatures w14:val="none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Иные требования</w:t>
            </w:r>
            <w:r>
              <w:rPr>
                <w:b/>
                <w:bCs/>
                <w:sz w:val="24"/>
                <w:szCs w:val="24"/>
                <w14:ligatures w14:val="none"/>
              </w:rPr>
            </w:r>
            <w:r>
              <w:rPr>
                <w:b/>
                <w:bCs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8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А1, А2,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А3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Заявление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ГИС ЛО</w:t>
            </w:r>
            <w:r>
              <w:rPr>
                <w:bCs/>
                <w:sz w:val="24"/>
                <w:szCs w:val="24"/>
                <w:lang w:eastAsia="ru-RU"/>
              </w:rPr>
              <w:t xml:space="preserve">, Л</w:t>
            </w: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eastAsiaTheme="minorHAnsi"/>
                <w:sz w:val="24"/>
                <w:szCs w:val="24"/>
                <w:highlight w:val="yellow"/>
              </w:rPr>
            </w:pPr>
            <w:r>
              <w:rPr>
                <w:rFonts w:eastAsiaTheme="minorHAnsi"/>
                <w:sz w:val="24"/>
                <w:szCs w:val="24"/>
                <w:highlight w:val="yellow"/>
              </w:rPr>
            </w:r>
            <w:r>
              <w:rPr>
                <w:rFonts w:eastAsiaTheme="minorHAnsi"/>
                <w:sz w:val="24"/>
                <w:szCs w:val="24"/>
                <w:highlight w:val="yellow"/>
              </w:rPr>
            </w:r>
            <w:r>
              <w:rPr>
                <w:rFonts w:eastAsiaTheme="minorHAnsi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А1, А2, А3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Д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окумент, удостоверяющий личность заявителя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 Л</w:t>
            </w:r>
            <w:r>
              <w:rPr>
                <w:rFonts w:eastAsiaTheme="minorHAnsi"/>
                <w:sz w:val="24"/>
                <w:szCs w:val="24"/>
                <w:highlight w:val="yellow"/>
              </w:rPr>
            </w:r>
            <w:r>
              <w:rPr>
                <w:rFonts w:eastAsiaTheme="minorHAnsi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А1, А2, А3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Доверенность, подтверждающая полномочия представителя заявителя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Л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8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документов, необходимых в соответствии с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законодательством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highlight w:val="yellow"/>
              </w:rPr>
            </w:pPr>
            <w:r>
              <w:rPr>
                <w:rFonts w:eastAsiaTheme="minorHAnsi"/>
                <w:sz w:val="24"/>
                <w:szCs w:val="24"/>
                <w:highlight w:val="white"/>
                <w:lang w:eastAsia="en-US"/>
              </w:rPr>
              <w:t xml:space="preserve">А1, А2</w:t>
            </w:r>
            <w:r>
              <w:rPr>
                <w:rFonts w:eastAsiaTheme="minorHAnsi"/>
                <w:sz w:val="24"/>
                <w:szCs w:val="24"/>
                <w:highlight w:val="white"/>
              </w:rPr>
            </w:r>
            <w:r>
              <w:rPr>
                <w:rFonts w:eastAsiaTheme="minorHAnsi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Выписка из Единого государственного реестра юридических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лиц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или индивидуальных предпринимателей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Л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2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А3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С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ведения о постановке на учет в качестве плательщика Налога на про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фессиональный доход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Л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</w:tbl>
    <w:p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b/>
          <w:bCs/>
          <w:sz w:val="24"/>
          <w:szCs w:val="24"/>
        </w:rPr>
        <w:t xml:space="preserve">IV. Исчерпывающий перечень оснований для отказа в приеме заявления и документов, необходимых для предоставления муниципальной услуги,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bCs/>
          <w:sz w:val="24"/>
          <w:szCs w:val="24"/>
        </w:rPr>
        <w:t xml:space="preserve">оснований для приостановления предоставления муниципальной услуги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bCs/>
          <w:sz w:val="24"/>
          <w:szCs w:val="24"/>
        </w:rPr>
        <w:t xml:space="preserve">или отказа в предоставлении муниципальной услуги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Таблица 3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tbl>
      <w:tblPr>
        <w:tblW w:w="998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29"/>
        <w:gridCol w:w="51"/>
        <w:gridCol w:w="5619"/>
        <w:gridCol w:w="3686"/>
      </w:tblGrid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№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1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Перечень оснований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Идентификатор категорий (признаков) заявителей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23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8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sz w:val="28"/>
                <w:szCs w:val="28"/>
                <w:lang w:eastAsia="ru-RU"/>
              </w:rPr>
              <w:t xml:space="preserve">Исчерпывающий перечень оснований для отказа в приеме документов, необходимых для предоставления муниципальной услуги</w:t>
            </w:r>
            <w:r/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  <w:lang w:eastAsia="ru-RU"/>
              </w:rPr>
              <w:t xml:space="preserve">заявление подано лицом, не уполномоченным на осуществление таких действий – </w:t>
            </w:r>
            <w:r>
              <w:rPr>
                <w:rFonts w:eastAsia="Calibri"/>
                <w:sz w:val="24"/>
                <w:szCs w:val="24"/>
              </w:rPr>
              <w:t xml:space="preserve">отсутствие документа, подтверждающего полномочия представителя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</w:rPr>
              <w:outlineLvl w:val="0"/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А1, А2, А3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  <w:highlight w:val="white"/>
              </w:rPr>
              <w:outlineLvl w:val="0"/>
            </w:pPr>
            <w:r>
              <w:rPr>
                <w:sz w:val="24"/>
                <w:szCs w:val="24"/>
                <w:highlight w:val="white"/>
                <w:lang w:eastAsia="ru-RU"/>
              </w:rPr>
              <w:t xml:space="preserve">нарушен срок подачи документов, у</w:t>
            </w:r>
            <w:r>
              <w:rPr>
                <w:sz w:val="24"/>
                <w:szCs w:val="24"/>
                <w:highlight w:val="white"/>
                <w:lang w:eastAsia="ru-RU"/>
              </w:rPr>
              <w:t xml:space="preserve">становленный в пункте 3.3.4 </w:t>
            </w:r>
            <w:r>
              <w:rPr>
                <w:sz w:val="24"/>
                <w:szCs w:val="24"/>
                <w:highlight w:val="white"/>
                <w:lang w:eastAsia="ru-RU"/>
              </w:rPr>
              <w:t xml:space="preserve">Порядка № 10-П</w:t>
            </w:r>
            <w:r>
              <w:rPr>
                <w:rFonts w:eastAsiaTheme="minorHAnsi"/>
                <w:sz w:val="24"/>
                <w:szCs w:val="24"/>
                <w:highlight w:val="white"/>
              </w:rPr>
            </w:r>
            <w:r>
              <w:rPr>
                <w:rFonts w:eastAsiaTheme="minorHAnsi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</w:rPr>
              <w:outlineLvl w:val="0"/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А1, А2, А3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567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eastAsia="ru-RU"/>
              </w:rPr>
              <w:t xml:space="preserve">предоставлен</w:t>
            </w:r>
            <w:r>
              <w:rPr>
                <w:sz w:val="24"/>
                <w:szCs w:val="24"/>
                <w:highlight w:val="white"/>
                <w:lang w:eastAsia="ru-RU"/>
              </w:rPr>
              <w:t xml:space="preserve"> неполн</w:t>
            </w:r>
            <w:r>
              <w:rPr>
                <w:sz w:val="24"/>
                <w:szCs w:val="24"/>
                <w:highlight w:val="white"/>
                <w:lang w:eastAsia="ru-RU"/>
              </w:rPr>
              <w:t xml:space="preserve">ый комплект</w:t>
            </w:r>
            <w:r>
              <w:rPr>
                <w:sz w:val="24"/>
                <w:szCs w:val="24"/>
                <w:highlight w:val="white"/>
                <w:lang w:eastAsia="ru-RU"/>
              </w:rPr>
              <w:t xml:space="preserve">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</w:t>
            </w:r>
            <w:r>
              <w:rPr>
                <w:sz w:val="24"/>
                <w:szCs w:val="24"/>
                <w:highlight w:val="white"/>
                <w:lang w:eastAsia="ru-RU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  <w:outlineLvl w:val="0"/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А1, А2, А3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4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567" w:leader="none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заявление на получение услуги оформлено не в соответствии с административным регламентом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  <w:outlineLvl w:val="0"/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А1, А2, А3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5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567" w:leader="none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представленные заявителем документы не отвечают требованиям, установленным административным регламентом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  <w:outlineLvl w:val="0"/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А1, А2, А3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567" w:leader="none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заявление с комплектом документов подписаны недействительной электронной подписью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  <w:outlineLvl w:val="0"/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А1, А2, А3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7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567" w:leader="none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представленные заявителем документы недействительны/указанные в заявлении сведения недостоверны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  <w:outlineLvl w:val="0"/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А1, А2, А3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8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567" w:leader="none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предмет запроса не регламентируется </w:t>
            </w:r>
            <w:r>
              <w:rPr>
                <w:sz w:val="24"/>
                <w:szCs w:val="24"/>
                <w:lang w:eastAsia="ru-RU"/>
              </w:rPr>
              <w:t xml:space="preserve">законодательством в рамках муниципальной услуги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  <w:outlineLvl w:val="0"/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А1, А2, А3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9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567" w:leader="none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отсутствие права на </w:t>
            </w:r>
            <w:r>
              <w:rPr>
                <w:sz w:val="24"/>
                <w:szCs w:val="24"/>
                <w:lang w:eastAsia="ru-RU"/>
              </w:rPr>
              <w:t xml:space="preserve">получение</w:t>
            </w:r>
            <w:r>
              <w:rPr>
                <w:sz w:val="24"/>
                <w:szCs w:val="24"/>
                <w:lang w:eastAsia="ru-RU"/>
              </w:rPr>
              <w:t xml:space="preserve"> муниципальной услуги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  <w:outlineLvl w:val="0"/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А1, А2, А3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8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оснований для отказа в предоставлении муниципальной услуги 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предлагаемое м</w:t>
            </w:r>
            <w:r>
              <w:rPr>
                <w:sz w:val="24"/>
                <w:szCs w:val="24"/>
                <w:lang w:eastAsia="ru-RU"/>
              </w:rPr>
              <w:t xml:space="preserve">есто размещения немобильного нестационарного торгового объекта или место остановки мобильного нестационарного торгового объекта не относится к земельным участкам, зданиям, строениям и сооружениям, находящимся в государственной и муниципальной собственности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А1, А2, А3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2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земельный участок, на котором предлагается разместить нестационарный торговый объект, предоставлен гражданину или юридическому лицу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А1, А2, А3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3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в случае, предусмотренном пунктом 3.3.7 Порядка № 10-П, федеральным органом исполнительной вл</w:t>
            </w:r>
            <w:r>
              <w:rPr>
                <w:sz w:val="24"/>
                <w:szCs w:val="24"/>
                <w:lang w:eastAsia="ru-RU"/>
              </w:rPr>
              <w:t xml:space="preserve">асти или органом исполнительной власти субъекта Российской Федерации, осуществляющим полномочия собственника имущества, принято решение об отказе в согласовании включения нестационарного торгового объекта в схему размещения нестационарных торговых объектов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А1, А2, А3</w:t>
            </w:r>
            <w:r>
              <w:rPr>
                <w:rFonts w:eastAsiaTheme="minorHAnsi"/>
                <w:sz w:val="24"/>
                <w:szCs w:val="24"/>
              </w:rPr>
            </w:r>
            <w:r>
              <w:rPr>
                <w:rFonts w:eastAsiaTheme="minorHAnsi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4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предлагаемое место размещения немобильного нестационарного торгового объекта или место остановки мобильного нестационарного торгового объекта не соответствует требованиям пунктов 4.1 – 4.2 Порядка № 10-П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А1, А2, А3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5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 случае, предусмотренном пунктом 3.3.8 Порядка № 10-П, органом местного самоуправления муниципального района принято решение об отказе в согласовании включения нестационарного торгового объекта в схему размещения нестационарных торговых объектов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А1, А2, А3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6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включение нестационарного то</w:t>
            </w:r>
            <w:r>
              <w:rPr>
                <w:sz w:val="24"/>
                <w:szCs w:val="24"/>
                <w:lang w:eastAsia="ru-RU"/>
              </w:rPr>
              <w:t xml:space="preserve">ргового объекта в схему размещения нестационарных торговых объектов приведет к невыполнению требования ч. 4 ст. 10 Федерального закона от 28 декабря 2009 года № 381-ФЗ «Об основах государственного регулирования торговой деятельности в Российской Федерации»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А1, А2, А3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7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 предлагаемом месте размещения немобильного нестационарного торгового объекта в схему размещения нестационарных торговых объектов внесен иной нестационарный торговый объект, в том </w:t>
            </w:r>
            <w:r>
              <w:rPr>
                <w:sz w:val="24"/>
                <w:szCs w:val="24"/>
                <w:lang w:eastAsia="ru-RU"/>
              </w:rPr>
              <w:t xml:space="preserve">числе по ранее поданному заявлению другим заинтересованным лицом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А1, А2, А3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8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lang w:eastAsia="ru-RU"/>
                <w14:ligatures w14:val="none"/>
              </w:rPr>
            </w:pPr>
            <w:r>
              <w:rPr>
                <w:sz w:val="24"/>
                <w:szCs w:val="24"/>
                <w:lang w:eastAsia="ru-RU"/>
              </w:rPr>
              <w:t xml:space="preserve">предлагаемое время р</w:t>
            </w:r>
            <w:r>
              <w:rPr>
                <w:sz w:val="24"/>
                <w:szCs w:val="24"/>
                <w:lang w:eastAsia="ru-RU"/>
              </w:rPr>
              <w:t xml:space="preserve">аботы мобильного нестационарного торгового объекта в месте остановки мобильного нестационарного торгового объекта включено в график работы другого мобильного нестационарного торгового объекта, включенного в схему размещения нестационарных торговых объектов</w:t>
            </w:r>
            <w:r>
              <w:rPr>
                <w:sz w:val="24"/>
                <w:szCs w:val="24"/>
                <w:lang w:eastAsia="ru-RU"/>
                <w14:ligatures w14:val="none"/>
              </w:rPr>
            </w:r>
            <w:r>
              <w:rPr>
                <w:sz w:val="24"/>
                <w:szCs w:val="24"/>
                <w:lang w:eastAsia="ru-RU"/>
                <w14:ligatures w14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А1, А2, А3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</w:tbl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V. Формы заявления и документов,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необходимых для предоставления муниципальной услуги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20"/>
        <w:jc w:val="right"/>
        <w:tabs>
          <w:tab w:val="left" w:pos="142" w:leader="none"/>
          <w:tab w:val="left" w:pos="284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firstLine="720"/>
        <w:jc w:val="right"/>
        <w:tabs>
          <w:tab w:val="left" w:pos="142" w:leader="none"/>
          <w:tab w:val="left" w:pos="284" w:leader="none"/>
        </w:tabs>
        <w:rPr>
          <w:bCs/>
          <w:sz w:val="24"/>
          <w:szCs w:val="24"/>
        </w:rPr>
      </w:pPr>
      <w:r>
        <w:rPr>
          <w:sz w:val="24"/>
          <w:szCs w:val="24"/>
          <w:lang w:eastAsia="en-US"/>
        </w:rPr>
        <w:t xml:space="preserve">Образец № 1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right="-104" w:firstLine="720"/>
        <w:jc w:val="right"/>
        <w:tabs>
          <w:tab w:val="left" w:pos="142" w:leader="none"/>
          <w:tab w:val="left" w:pos="28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tabs>
          <w:tab w:val="left" w:pos="142" w:leader="none"/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(ФОРМА)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42" w:leader="none"/>
          <w:tab w:val="left" w:pos="28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для включения в схему размещения нестационарных торговых объектов немобильного нестационарного торгового объекта</w:t>
      </w:r>
      <w:r>
        <w:rPr>
          <w:i/>
          <w:sz w:val="24"/>
          <w:szCs w:val="24"/>
        </w:rPr>
        <w:t xml:space="preserve">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 ________________________________________________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(уполномоченный орган местного самоуправления)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Самозанятый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ЗАЯВЛЕНИЕ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рошу </w:t>
      </w:r>
      <w:r>
        <w:rPr>
          <w:sz w:val="28"/>
          <w:szCs w:val="28"/>
        </w:rPr>
        <w:t xml:space="preserve">включить в Схему размещения </w:t>
      </w:r>
      <w:r>
        <w:rPr>
          <w:sz w:val="28"/>
          <w:szCs w:val="28"/>
        </w:rPr>
        <w:t xml:space="preserve">нестационарных торговых объектов, расположенных на земельных участках, в зданиях, строениях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сооружениях, находящихся в государственной и муниципальной собственности, на территории муниципального образования ____________________</w:t>
      </w:r>
      <w:r>
        <w:rPr>
          <w:sz w:val="28"/>
          <w:szCs w:val="28"/>
        </w:rPr>
        <w:t xml:space="preserve">____</w:t>
      </w:r>
      <w:r>
        <w:rPr>
          <w:sz w:val="28"/>
          <w:szCs w:val="28"/>
        </w:rPr>
        <w:t xml:space="preserve">_ Ленинградской области</w:t>
      </w:r>
      <w:r>
        <w:rPr>
          <w:sz w:val="28"/>
          <w:szCs w:val="28"/>
        </w:rPr>
        <w:t xml:space="preserve"> немобильный нестационарный торговый объект (далее – НТО):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6"/>
        <w:gridCol w:w="3324"/>
        <w:gridCol w:w="6378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1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4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Вид НТО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8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2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4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  <w:vertAlign w:val="superscript"/>
              </w:rPr>
            </w:pPr>
            <w:r>
              <w:rPr>
                <w:rFonts w:eastAsia="Courier New"/>
                <w:sz w:val="24"/>
                <w:szCs w:val="24"/>
              </w:rPr>
              <w:t xml:space="preserve">Площадь НТО, кв. м</w:t>
            </w:r>
            <w:r>
              <w:rPr>
                <w:rFonts w:eastAsia="Courier New"/>
                <w:sz w:val="24"/>
                <w:szCs w:val="24"/>
                <w:vertAlign w:val="superscript"/>
              </w:rPr>
            </w:r>
            <w:r>
              <w:rPr>
                <w:rFonts w:eastAsia="Courier New"/>
                <w:sz w:val="24"/>
                <w:szCs w:val="24"/>
                <w:vertAlign w:val="superscript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8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3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4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  <w:vertAlign w:val="superscript"/>
              </w:rPr>
            </w:pPr>
            <w:r>
              <w:rPr>
                <w:rFonts w:eastAsia="Courier New"/>
                <w:sz w:val="24"/>
                <w:szCs w:val="24"/>
              </w:rPr>
              <w:t xml:space="preserve">Специализация НТО</w:t>
            </w:r>
            <w:r>
              <w:rPr>
                <w:rFonts w:eastAsia="Courier New"/>
                <w:sz w:val="24"/>
                <w:szCs w:val="24"/>
                <w:vertAlign w:val="superscript"/>
              </w:rPr>
            </w:r>
            <w:r>
              <w:rPr>
                <w:rFonts w:eastAsia="Courier New"/>
                <w:sz w:val="24"/>
                <w:szCs w:val="24"/>
                <w:vertAlign w:val="superscript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8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4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4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Место размещения НТО: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  <w:p>
            <w:pPr>
              <w:rPr>
                <w:rFonts w:eastAsia="Courier New"/>
                <w:sz w:val="24"/>
                <w:szCs w:val="24"/>
                <w:vertAlign w:val="superscript"/>
              </w:rPr>
            </w:pPr>
            <w:r>
              <w:rPr>
                <w:rFonts w:eastAsia="Courier New"/>
                <w:sz w:val="24"/>
                <w:szCs w:val="24"/>
              </w:rPr>
              <w:t xml:space="preserve">- адресный ориентир</w:t>
            </w:r>
            <w:r>
              <w:rPr>
                <w:rFonts w:eastAsia="Courier New"/>
                <w:sz w:val="24"/>
                <w:szCs w:val="24"/>
                <w:vertAlign w:val="superscript"/>
              </w:rPr>
            </w:r>
            <w:r>
              <w:rPr>
                <w:rFonts w:eastAsia="Courier New"/>
                <w:sz w:val="24"/>
                <w:szCs w:val="24"/>
                <w:vertAlign w:val="superscript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8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4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- географические координаты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8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5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4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Период размещения НТО: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- с (дата)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8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4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- по (дата)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8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</w:tr>
    </w:tbl>
    <w:p>
      <w:pPr>
        <w:pStyle w:val="86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29"/>
        <w:gridCol w:w="9639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9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*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9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В случае невозможнос</w:t>
            </w:r>
            <w:r>
              <w:rPr>
                <w:rFonts w:eastAsia="Courier New"/>
                <w:sz w:val="24"/>
                <w:szCs w:val="24"/>
              </w:rPr>
              <w:t xml:space="preserve">ти размещения немобильного НТО</w:t>
            </w:r>
            <w:r>
              <w:rPr>
                <w:rFonts w:eastAsia="Courier New"/>
                <w:sz w:val="24"/>
                <w:szCs w:val="24"/>
              </w:rPr>
              <w:t xml:space="preserve"> в соответствии с требованиями пунктов 4.1 и 4.2 Порядка разработки и утверждения органами местного самоуправления муниципальных образований Ленинградской области схем размещения нестационарных торговых объектов, расположенных на земельных участках,</w:t>
            </w:r>
            <w:r>
              <w:rPr>
                <w:rFonts w:eastAsia="Courier New"/>
                <w:sz w:val="24"/>
                <w:szCs w:val="24"/>
              </w:rPr>
              <w:t xml:space="preserve"> в зданиях, строениях</w:t>
            </w:r>
            <w:r>
              <w:rPr>
                <w:rFonts w:eastAsia="Courier New"/>
                <w:sz w:val="24"/>
                <w:szCs w:val="24"/>
              </w:rPr>
              <w:br/>
            </w:r>
            <w:r>
              <w:rPr>
                <w:rFonts w:eastAsia="Courier New"/>
                <w:sz w:val="24"/>
                <w:szCs w:val="24"/>
              </w:rPr>
              <w:t xml:space="preserve">и сооружениях, находящихся в государственной</w:t>
            </w:r>
            <w:r>
              <w:rPr>
                <w:rFonts w:eastAsia="Courier New"/>
                <w:sz w:val="24"/>
                <w:szCs w:val="24"/>
              </w:rPr>
              <w:t xml:space="preserve"> </w:t>
            </w:r>
            <w:r>
              <w:rPr>
                <w:rFonts w:eastAsia="Courier New"/>
                <w:sz w:val="24"/>
                <w:szCs w:val="24"/>
              </w:rPr>
              <w:t xml:space="preserve">и муниципальной собственности</w:t>
            </w:r>
            <w:r>
              <w:rPr>
                <w:rFonts w:eastAsia="Courier New"/>
                <w:sz w:val="24"/>
                <w:szCs w:val="24"/>
              </w:rPr>
              <w:t xml:space="preserve">,</w:t>
            </w:r>
            <w:r>
              <w:rPr>
                <w:rFonts w:eastAsia="Courier New"/>
                <w:sz w:val="24"/>
                <w:szCs w:val="24"/>
              </w:rPr>
              <w:br/>
            </w:r>
            <w:r>
              <w:rPr>
                <w:rFonts w:eastAsia="Courier New"/>
                <w:sz w:val="24"/>
                <w:szCs w:val="24"/>
              </w:rPr>
              <w:t xml:space="preserve">в заявленном месте</w:t>
            </w:r>
            <w:r>
              <w:rPr>
                <w:rFonts w:eastAsia="Courier New"/>
                <w:sz w:val="24"/>
                <w:szCs w:val="24"/>
              </w:rPr>
              <w:t xml:space="preserve"> даю согласие на его изменение</w:t>
            </w:r>
            <w:r>
              <w:rPr>
                <w:rFonts w:eastAsia="Courier New"/>
                <w:sz w:val="24"/>
                <w:szCs w:val="24"/>
              </w:rPr>
              <w:t xml:space="preserve"> </w:t>
            </w:r>
            <w:r>
              <w:rPr>
                <w:rFonts w:eastAsia="Courier New"/>
                <w:sz w:val="24"/>
                <w:szCs w:val="24"/>
              </w:rPr>
              <w:t xml:space="preserve">в пределах радиуса 10 метров</w:t>
            </w:r>
            <w:r>
              <w:rPr>
                <w:rFonts w:eastAsia="Courier New"/>
                <w:sz w:val="24"/>
                <w:szCs w:val="24"/>
              </w:rPr>
              <w:br/>
            </w:r>
            <w:r>
              <w:rPr>
                <w:rFonts w:eastAsia="Courier New"/>
                <w:sz w:val="24"/>
                <w:szCs w:val="24"/>
              </w:rPr>
              <w:t xml:space="preserve">от указанного в </w:t>
            </w:r>
            <w:r>
              <w:rPr>
                <w:rFonts w:eastAsia="Courier New"/>
                <w:sz w:val="24"/>
                <w:szCs w:val="24"/>
              </w:rPr>
              <w:t xml:space="preserve">настоящем заявлении места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</w:tr>
    </w:tbl>
    <w:p>
      <w:pPr>
        <w:pStyle w:val="86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заявителе (лице, планирующем осуществлять торговую деятельность в НТО):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6"/>
        <w:gridCol w:w="3891"/>
        <w:gridCol w:w="5811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1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91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Наименование юридического лица / фамилия, имя, отчество индивидуального предпринимателя или самозанятого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1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2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91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  <w:vertAlign w:val="superscript"/>
              </w:rPr>
            </w:pPr>
            <w:r>
              <w:rPr>
                <w:rFonts w:eastAsia="Courier New"/>
                <w:sz w:val="24"/>
                <w:szCs w:val="24"/>
              </w:rPr>
              <w:t xml:space="preserve">ИНН</w:t>
            </w:r>
            <w:r>
              <w:rPr>
                <w:rFonts w:eastAsia="Courier New"/>
                <w:sz w:val="24"/>
                <w:szCs w:val="24"/>
                <w:vertAlign w:val="superscript"/>
              </w:rPr>
            </w:r>
            <w:r>
              <w:rPr>
                <w:rFonts w:eastAsia="Courier New"/>
                <w:sz w:val="24"/>
                <w:szCs w:val="24"/>
                <w:vertAlign w:val="superscript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1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3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91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  <w:vertAlign w:val="superscript"/>
              </w:rPr>
            </w:pPr>
            <w:r>
              <w:rPr>
                <w:rFonts w:eastAsia="Courier New"/>
                <w:sz w:val="24"/>
                <w:szCs w:val="24"/>
              </w:rPr>
              <w:t xml:space="preserve">Юридический адрес (для юр. лиц) / адрес регистрации по месту жительства (для индивидуальных предпринимателей и самозанятых)</w:t>
            </w:r>
            <w:r>
              <w:rPr>
                <w:rFonts w:eastAsia="Courier New"/>
                <w:sz w:val="24"/>
                <w:szCs w:val="24"/>
                <w:vertAlign w:val="superscript"/>
              </w:rPr>
            </w:r>
            <w:r>
              <w:rPr>
                <w:rFonts w:eastAsia="Courier New"/>
                <w:sz w:val="24"/>
                <w:szCs w:val="24"/>
                <w:vertAlign w:val="superscript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1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4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91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  <w:vertAlign w:val="superscript"/>
              </w:rPr>
            </w:pPr>
            <w:r>
              <w:rPr>
                <w:rFonts w:eastAsia="Courier New"/>
                <w:sz w:val="24"/>
                <w:szCs w:val="24"/>
              </w:rPr>
              <w:t xml:space="preserve">Контактный телефон</w:t>
            </w:r>
            <w:r>
              <w:rPr>
                <w:rFonts w:eastAsia="Courier New"/>
                <w:sz w:val="24"/>
                <w:szCs w:val="24"/>
                <w:vertAlign w:val="superscript"/>
              </w:rPr>
            </w:r>
            <w:r>
              <w:rPr>
                <w:rFonts w:eastAsia="Courier New"/>
                <w:sz w:val="24"/>
                <w:szCs w:val="24"/>
                <w:vertAlign w:val="superscript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1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5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91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Адрес электронной почты (при наличии)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1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</w:tr>
    </w:tbl>
    <w:p>
      <w:pPr>
        <w:pStyle w:val="86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0268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748"/>
        <w:gridCol w:w="340"/>
        <w:gridCol w:w="2070"/>
        <w:gridCol w:w="340"/>
        <w:gridCol w:w="3770"/>
      </w:tblGrid>
      <w:tr>
        <w:tblPrEx/>
        <w:trPr/>
        <w:tc>
          <w:tcPr>
            <w:tcBorders>
              <w:bottom w:val="single" w:color="auto" w:sz="4" w:space="0"/>
            </w:tcBorders>
            <w:tcW w:w="3748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W w:w="340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2070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W w:w="340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770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748" w:type="dxa"/>
            <w:textDirection w:val="lrTb"/>
            <w:noWrap w:val="false"/>
          </w:tcPr>
          <w:p>
            <w:pPr>
              <w:jc w:val="center"/>
              <w:rPr>
                <w:rFonts w:eastAsia="Courier New"/>
              </w:rPr>
            </w:pPr>
            <w:r>
              <w:rPr>
                <w:rFonts w:eastAsia="Courier New"/>
              </w:rPr>
              <w:t xml:space="preserve">(должность </w:t>
            </w:r>
            <w:r>
              <w:rPr>
                <w:rFonts w:eastAsia="Courier New"/>
              </w:rPr>
              <w:t xml:space="preserve">лица, подписавшего заявление)</w:t>
            </w:r>
            <w:r>
              <w:rPr>
                <w:rFonts w:eastAsia="Courier New"/>
              </w:rPr>
            </w:r>
            <w:r>
              <w:rPr>
                <w:rFonts w:eastAsia="Courier New"/>
              </w:rPr>
            </w:r>
          </w:p>
        </w:tc>
        <w:tc>
          <w:tcPr>
            <w:tcW w:w="340" w:type="dxa"/>
            <w:textDirection w:val="lrTb"/>
            <w:noWrap w:val="false"/>
          </w:tcPr>
          <w:p>
            <w:pPr>
              <w:rPr>
                <w:rFonts w:eastAsia="Courier New"/>
              </w:rPr>
            </w:pPr>
            <w:r>
              <w:rPr>
                <w:rFonts w:eastAsia="Courier New"/>
              </w:rPr>
            </w:r>
            <w:r>
              <w:rPr>
                <w:rFonts w:eastAsia="Courier New"/>
              </w:rPr>
            </w:r>
            <w:r>
              <w:rPr>
                <w:rFonts w:eastAsia="Courier New"/>
              </w:rPr>
            </w:r>
          </w:p>
        </w:tc>
        <w:tc>
          <w:tcPr>
            <w:tcBorders>
              <w:top w:val="single" w:color="auto" w:sz="4" w:space="0"/>
            </w:tcBorders>
            <w:tcW w:w="2070" w:type="dxa"/>
            <w:textDirection w:val="lrTb"/>
            <w:noWrap w:val="false"/>
          </w:tcPr>
          <w:p>
            <w:pPr>
              <w:jc w:val="center"/>
              <w:rPr>
                <w:rFonts w:eastAsia="Courier New"/>
              </w:rPr>
            </w:pPr>
            <w:r>
              <w:rPr>
                <w:rFonts w:eastAsia="Courier New"/>
              </w:rPr>
              <w:t xml:space="preserve">(подпись)</w:t>
            </w:r>
            <w:r>
              <w:rPr>
                <w:rFonts w:eastAsia="Courier New"/>
              </w:rPr>
            </w:r>
            <w:r>
              <w:rPr>
                <w:rFonts w:eastAsia="Courier New"/>
              </w:rPr>
            </w:r>
          </w:p>
        </w:tc>
        <w:tc>
          <w:tcPr>
            <w:tcW w:w="340" w:type="dxa"/>
            <w:textDirection w:val="lrTb"/>
            <w:noWrap w:val="false"/>
          </w:tcPr>
          <w:p>
            <w:pPr>
              <w:rPr>
                <w:rFonts w:eastAsia="Courier New"/>
              </w:rPr>
            </w:pPr>
            <w:r>
              <w:rPr>
                <w:rFonts w:eastAsia="Courier New"/>
              </w:rPr>
            </w:r>
            <w:r>
              <w:rPr>
                <w:rFonts w:eastAsia="Courier New"/>
              </w:rPr>
            </w:r>
            <w:r>
              <w:rPr>
                <w:rFonts w:eastAsia="Courier New"/>
              </w:rPr>
            </w:r>
          </w:p>
        </w:tc>
        <w:tc>
          <w:tcPr>
            <w:tcBorders>
              <w:top w:val="single" w:color="auto" w:sz="4" w:space="0"/>
            </w:tcBorders>
            <w:tcW w:w="3770" w:type="dxa"/>
            <w:textDirection w:val="lrTb"/>
            <w:noWrap w:val="false"/>
          </w:tcPr>
          <w:p>
            <w:pPr>
              <w:jc w:val="center"/>
              <w:rPr>
                <w:rFonts w:eastAsia="Courier New"/>
                <w:vertAlign w:val="superscript"/>
              </w:rPr>
            </w:pPr>
            <w:r>
              <w:rPr>
                <w:rFonts w:eastAsia="Courier New"/>
              </w:rPr>
              <w:t xml:space="preserve">(Ф.И.О. </w:t>
            </w:r>
            <w:r>
              <w:rPr>
                <w:rFonts w:eastAsia="Courier New"/>
              </w:rPr>
              <w:t xml:space="preserve">лица, подписавшего заявление)</w:t>
            </w:r>
            <w:r>
              <w:rPr>
                <w:rFonts w:eastAsia="Courier New"/>
                <w:vertAlign w:val="superscript"/>
              </w:rPr>
              <w:t xml:space="preserve">1</w:t>
            </w:r>
            <w:r>
              <w:rPr>
                <w:rFonts w:eastAsia="Courier New"/>
                <w:vertAlign w:val="superscript"/>
              </w:rPr>
            </w:r>
            <w:r>
              <w:rPr>
                <w:rFonts w:eastAsia="Courier New"/>
                <w:vertAlign w:val="superscript"/>
              </w:rPr>
            </w:r>
          </w:p>
        </w:tc>
      </w:tr>
      <w:tr>
        <w:tblPrEx/>
        <w:trPr/>
        <w:tc>
          <w:tcPr>
            <w:gridSpan w:val="4"/>
            <w:tcW w:w="6498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W w:w="3770" w:type="dxa"/>
            <w:textDirection w:val="lrTb"/>
            <w:noWrap w:val="false"/>
          </w:tcPr>
          <w:p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«</w:t>
            </w:r>
            <w:r>
              <w:rPr>
                <w:rFonts w:eastAsia="Courier New"/>
                <w:sz w:val="24"/>
                <w:szCs w:val="24"/>
              </w:rPr>
              <w:t xml:space="preserve">___</w:t>
            </w:r>
            <w:r>
              <w:rPr>
                <w:rFonts w:eastAsia="Courier New"/>
                <w:sz w:val="24"/>
                <w:szCs w:val="24"/>
              </w:rPr>
              <w:t xml:space="preserve">»</w:t>
            </w:r>
            <w:r>
              <w:rPr>
                <w:rFonts w:eastAsia="Courier New"/>
                <w:sz w:val="24"/>
                <w:szCs w:val="24"/>
              </w:rPr>
              <w:t xml:space="preserve"> _________ 20__ года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</w:tr>
    </w:tbl>
    <w:p>
      <w:pPr>
        <w:pStyle w:val="86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Результат рассмотрения заявления прошу: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7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34"/>
        <w:gridCol w:w="9247"/>
      </w:tblGrid>
      <w:tr>
        <w:tblPrEx/>
        <w:trPr/>
        <w:tc>
          <w:tcPr>
            <w:shd w:val="clear" w:color="auto" w:fill="auto"/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ind w:firstLine="72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2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247" w:type="dxa"/>
            <w:vAlign w:val="center"/>
            <w:textDirection w:val="lrTb"/>
            <w:noWrap w:val="false"/>
          </w:tcPr>
          <w:p>
            <w:pPr>
              <w:ind w:left="776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выдать на руки при личной явке в </w:t>
            </w:r>
            <w:r>
              <w:rPr>
                <w:sz w:val="24"/>
                <w:szCs w:val="24"/>
              </w:rPr>
              <w:t xml:space="preserve">ОМСУ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ind w:firstLine="72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2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247" w:type="dxa"/>
            <w:vAlign w:val="center"/>
            <w:textDirection w:val="lrTb"/>
            <w:noWrap w:val="false"/>
          </w:tcPr>
          <w:p>
            <w:pPr>
              <w:ind w:left="776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направить в электронной форме в личный кабинет </w:t>
            </w:r>
            <w:r>
              <w:rPr>
                <w:sz w:val="24"/>
                <w:szCs w:val="24"/>
              </w:rPr>
              <w:t xml:space="preserve">Государственной информационной системы Ленинградской области </w:t>
            </w:r>
            <w:r>
              <w:rPr>
                <w:sz w:val="24"/>
                <w:szCs w:val="24"/>
              </w:rPr>
              <w:t xml:space="preserve"> Ленинградской области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«Прием конкурсных заявок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от субъектов малого и среднего предпринимательства на предоставление субсидий»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6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jc w:val="both"/>
        <w:rPr>
          <w:sz w:val="20"/>
        </w:rPr>
      </w:pPr>
      <w:r>
        <w:rPr>
          <w:sz w:val="20"/>
        </w:rPr>
        <w:t xml:space="preserve">__________</w:t>
      </w:r>
      <w:r>
        <w:rPr>
          <w:sz w:val="20"/>
        </w:rPr>
        <w:t xml:space="preserve">______</w:t>
      </w:r>
      <w:r>
        <w:rPr>
          <w:sz w:val="20"/>
        </w:rPr>
      </w:r>
      <w:r>
        <w:rPr>
          <w:sz w:val="20"/>
        </w:rPr>
      </w:r>
    </w:p>
    <w:p>
      <w:pPr>
        <w:pStyle w:val="865"/>
        <w:jc w:val="both"/>
        <w:rPr>
          <w:sz w:val="20"/>
        </w:rPr>
      </w:pPr>
      <w:r>
        <w:rPr>
          <w:sz w:val="20"/>
        </w:rPr>
        <w:t xml:space="preserve">* – в случае выбора позиции в графе проставляется отметка.</w:t>
      </w:r>
      <w:r>
        <w:rPr>
          <w:sz w:val="20"/>
        </w:rPr>
      </w:r>
      <w:r>
        <w:rPr>
          <w:sz w:val="20"/>
        </w:rPr>
      </w:r>
    </w:p>
    <w:p>
      <w:pPr>
        <w:pStyle w:val="865"/>
        <w:jc w:val="both"/>
        <w:rPr>
          <w:sz w:val="20"/>
        </w:rPr>
      </w:pPr>
      <w:r>
        <w:rPr>
          <w:sz w:val="20"/>
        </w:rPr>
        <w:t xml:space="preserve">1 – </w:t>
      </w:r>
      <w:r>
        <w:rPr>
          <w:sz w:val="20"/>
        </w:rPr>
        <w:t xml:space="preserve">в случае подписания заявления лицом, не имеющим права действовать от имени заявителя без доверенности,</w:t>
      </w:r>
      <w:r>
        <w:rPr>
          <w:sz w:val="20"/>
        </w:rPr>
        <w:br/>
        <w:t xml:space="preserve">к заявлению прикладывается оформленная в установленном порядке доверенность или иной документ, подтверждающий полномочия подписавшего заявление лица действовать от имени заявителя.</w:t>
      </w:r>
      <w:r>
        <w:rPr>
          <w:sz w:val="20"/>
        </w:rPr>
      </w:r>
      <w:r>
        <w:rPr>
          <w:sz w:val="20"/>
        </w:rPr>
      </w:r>
    </w:p>
    <w:p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 w:clear="all"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right"/>
        <w:tabs>
          <w:tab w:val="left" w:pos="142" w:leader="none"/>
          <w:tab w:val="left" w:pos="284" w:leader="none"/>
        </w:tabs>
        <w:rPr>
          <w:bCs/>
          <w:sz w:val="24"/>
          <w:szCs w:val="24"/>
        </w:rPr>
      </w:pPr>
      <w:r>
        <w:rPr>
          <w:sz w:val="24"/>
          <w:szCs w:val="24"/>
          <w:lang w:eastAsia="en-US"/>
        </w:rPr>
        <w:t xml:space="preserve">Образец № 2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right="-104" w:firstLine="720"/>
        <w:jc w:val="right"/>
        <w:tabs>
          <w:tab w:val="left" w:pos="142" w:leader="none"/>
          <w:tab w:val="left" w:pos="28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tabs>
          <w:tab w:val="left" w:pos="142" w:leader="none"/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(ФОРМА)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42" w:leader="none"/>
          <w:tab w:val="left" w:pos="28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для включения в схему размещения нес</w:t>
      </w:r>
      <w:r>
        <w:rPr>
          <w:i/>
          <w:sz w:val="24"/>
          <w:szCs w:val="24"/>
        </w:rPr>
        <w:t xml:space="preserve">тационарных торговых объектов </w:t>
      </w:r>
      <w:r>
        <w:rPr>
          <w:i/>
          <w:sz w:val="24"/>
          <w:szCs w:val="24"/>
        </w:rPr>
        <w:t xml:space="preserve">мобильного нестационарного торгового объекта</w:t>
      </w:r>
      <w:r>
        <w:rPr>
          <w:i/>
          <w:sz w:val="24"/>
          <w:szCs w:val="24"/>
        </w:rPr>
        <w:t xml:space="preserve">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 ________________________________________________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(уполномоченный орган местного самоуправления)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ЗАЯВЛЕНИЕ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рошу </w:t>
      </w:r>
      <w:r>
        <w:rPr>
          <w:sz w:val="28"/>
          <w:szCs w:val="28"/>
        </w:rPr>
        <w:t xml:space="preserve">включить в Схему размещения </w:t>
      </w:r>
      <w:r>
        <w:rPr>
          <w:sz w:val="28"/>
          <w:szCs w:val="28"/>
        </w:rPr>
        <w:t xml:space="preserve">нестационарных торговых объектов, расположенных на земельных участках, в зданиях, строениях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сооружениях, находящихся в государственной и муниципальной собственности, на территории муниципального образования ____________________</w:t>
      </w:r>
      <w:r>
        <w:rPr>
          <w:sz w:val="28"/>
          <w:szCs w:val="28"/>
        </w:rPr>
        <w:t xml:space="preserve">____</w:t>
      </w:r>
      <w:r>
        <w:rPr>
          <w:sz w:val="28"/>
          <w:szCs w:val="28"/>
        </w:rPr>
        <w:t xml:space="preserve">_ Ленинградской области</w:t>
      </w:r>
      <w:r>
        <w:rPr>
          <w:sz w:val="28"/>
          <w:szCs w:val="28"/>
        </w:rPr>
        <w:t xml:space="preserve"> (далее – Схема) мобильный нестационарный торговый объект (далее – НТО):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6"/>
        <w:gridCol w:w="3324"/>
        <w:gridCol w:w="6378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1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4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Вид НТО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8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2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4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  <w:vertAlign w:val="superscript"/>
              </w:rPr>
            </w:pPr>
            <w:r>
              <w:rPr>
                <w:rFonts w:eastAsia="Courier New"/>
                <w:sz w:val="24"/>
                <w:szCs w:val="24"/>
              </w:rPr>
              <w:t xml:space="preserve">Специализация НТО</w:t>
            </w:r>
            <w:r>
              <w:rPr>
                <w:rFonts w:eastAsia="Courier New"/>
                <w:sz w:val="24"/>
                <w:szCs w:val="24"/>
                <w:vertAlign w:val="superscript"/>
              </w:rPr>
            </w:r>
            <w:r>
              <w:rPr>
                <w:rFonts w:eastAsia="Courier New"/>
                <w:sz w:val="24"/>
                <w:szCs w:val="24"/>
                <w:vertAlign w:val="superscript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8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3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4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Период размещения НТО: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- с (дата)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8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4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- по (дата)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8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</w:tr>
    </w:tbl>
    <w:p>
      <w:pPr>
        <w:pStyle w:val="86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Места остановки мобильного НТО, включенные в Схему: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6"/>
        <w:gridCol w:w="3324"/>
        <w:gridCol w:w="6378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№ п/п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4" w:type="dxa"/>
            <w:textDirection w:val="lrTb"/>
            <w:noWrap w:val="false"/>
          </w:tcPr>
          <w:p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Идентификационный номер места остановки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8" w:type="dxa"/>
            <w:textDirection w:val="lrTb"/>
            <w:noWrap w:val="false"/>
          </w:tcPr>
          <w:p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График работы мобильного НТО в месте остановки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4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  <w:vertAlign w:val="superscript"/>
              </w:rPr>
            </w:pPr>
            <w:r>
              <w:rPr>
                <w:rFonts w:eastAsia="Courier New"/>
                <w:sz w:val="24"/>
                <w:szCs w:val="24"/>
                <w:vertAlign w:val="superscript"/>
              </w:rPr>
            </w:r>
            <w:r>
              <w:rPr>
                <w:rFonts w:eastAsia="Courier New"/>
                <w:sz w:val="24"/>
                <w:szCs w:val="24"/>
                <w:vertAlign w:val="superscript"/>
              </w:rPr>
            </w:r>
            <w:r>
              <w:rPr>
                <w:rFonts w:eastAsia="Courier New"/>
                <w:sz w:val="24"/>
                <w:szCs w:val="24"/>
                <w:vertAlign w:val="superscript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8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</w:tr>
    </w:tbl>
    <w:p>
      <w:pPr>
        <w:pStyle w:val="86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Места остановки мобильного НТО, предлагаемые к включению в Схему: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6"/>
        <w:gridCol w:w="3324"/>
        <w:gridCol w:w="3189"/>
        <w:gridCol w:w="3189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№ п/п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13" w:type="dxa"/>
            <w:textDirection w:val="lrTb"/>
            <w:noWrap w:val="false"/>
          </w:tcPr>
          <w:p>
            <w:pPr>
              <w:jc w:val="center"/>
              <w:tabs>
                <w:tab w:val="left" w:pos="5538" w:leader="none"/>
              </w:tabs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Место размещения остановки мобильного НТО: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18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График работы мобильного НТО в месте остановки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4" w:type="dxa"/>
            <w:textDirection w:val="lrTb"/>
            <w:noWrap w:val="false"/>
          </w:tcPr>
          <w:p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адресный ориентир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89" w:type="dxa"/>
            <w:textDirection w:val="lrTb"/>
            <w:noWrap w:val="false"/>
          </w:tcPr>
          <w:p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географические координаты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89" w:type="dxa"/>
            <w:vMerge w:val="continue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1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24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89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89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</w:tr>
    </w:tbl>
    <w:p>
      <w:pPr>
        <w:pStyle w:val="86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29"/>
        <w:gridCol w:w="9639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9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*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9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В случае невозможности размещения места остановки мобильного НТО в соответствии</w:t>
            </w:r>
            <w:r>
              <w:rPr>
                <w:rFonts w:eastAsia="Courier New"/>
                <w:sz w:val="24"/>
                <w:szCs w:val="24"/>
              </w:rPr>
              <w:br/>
            </w:r>
            <w:r>
              <w:rPr>
                <w:rFonts w:eastAsia="Courier New"/>
                <w:sz w:val="24"/>
                <w:szCs w:val="24"/>
              </w:rPr>
              <w:t xml:space="preserve">с требованиями пунктов 4.1 и 4.2 Порядка разработки и утверждения органами местного самоуправления муниципальных образований Ленинградской области схем размещения нестационарных торговых объектов, расположенных на земельных участках,</w:t>
            </w:r>
            <w:r>
              <w:rPr>
                <w:rFonts w:eastAsia="Courier New"/>
                <w:sz w:val="24"/>
                <w:szCs w:val="24"/>
              </w:rPr>
              <w:t xml:space="preserve"> </w:t>
            </w:r>
            <w:r>
              <w:rPr>
                <w:rFonts w:eastAsia="Courier New"/>
                <w:sz w:val="24"/>
                <w:szCs w:val="24"/>
              </w:rPr>
              <w:t xml:space="preserve">в зданиях, </w:t>
            </w:r>
            <w:r>
              <w:rPr>
                <w:rFonts w:eastAsia="Courier New"/>
                <w:sz w:val="24"/>
                <w:szCs w:val="24"/>
              </w:rPr>
              <w:t xml:space="preserve">строениях и сооружениях, находящихся в государственной</w:t>
            </w:r>
            <w:r>
              <w:rPr>
                <w:rFonts w:eastAsia="Courier New"/>
                <w:sz w:val="24"/>
                <w:szCs w:val="24"/>
              </w:rPr>
              <w:t xml:space="preserve"> </w:t>
            </w:r>
            <w:r>
              <w:rPr>
                <w:rFonts w:eastAsia="Courier New"/>
                <w:sz w:val="24"/>
                <w:szCs w:val="24"/>
              </w:rPr>
              <w:t xml:space="preserve">и муниципальной собственности</w:t>
            </w:r>
            <w:r>
              <w:rPr>
                <w:rFonts w:eastAsia="Courier New"/>
                <w:sz w:val="24"/>
                <w:szCs w:val="24"/>
              </w:rPr>
              <w:t xml:space="preserve">, </w:t>
            </w:r>
            <w:r>
              <w:rPr>
                <w:rFonts w:eastAsia="Courier New"/>
                <w:sz w:val="24"/>
                <w:szCs w:val="24"/>
              </w:rPr>
              <w:t xml:space="preserve">в заявленном месте</w:t>
            </w:r>
            <w:r>
              <w:rPr>
                <w:rFonts w:eastAsia="Courier New"/>
                <w:sz w:val="24"/>
                <w:szCs w:val="24"/>
              </w:rPr>
              <w:t xml:space="preserve"> даю согласие на его изменение</w:t>
            </w:r>
            <w:r>
              <w:rPr>
                <w:rFonts w:eastAsia="Courier New"/>
                <w:sz w:val="24"/>
                <w:szCs w:val="24"/>
              </w:rPr>
              <w:t xml:space="preserve"> в пределах радиуса 10 метров от указанного в </w:t>
            </w:r>
            <w:r>
              <w:rPr>
                <w:rFonts w:eastAsia="Courier New"/>
                <w:sz w:val="24"/>
                <w:szCs w:val="24"/>
              </w:rPr>
              <w:t xml:space="preserve">настоящем заявлении места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</w:tr>
    </w:tbl>
    <w:p>
      <w:pPr>
        <w:pStyle w:val="86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заявителе (лице, планирующем осуществлять торговую деятельность в НТО):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6"/>
        <w:gridCol w:w="3891"/>
        <w:gridCol w:w="5811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1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91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Наименование юридического лица / фамилия, имя, отчество индивидуального предпринимателя или самозанятого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1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2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91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  <w:vertAlign w:val="superscript"/>
              </w:rPr>
            </w:pPr>
            <w:r>
              <w:rPr>
                <w:rFonts w:eastAsia="Courier New"/>
                <w:sz w:val="24"/>
                <w:szCs w:val="24"/>
              </w:rPr>
              <w:t xml:space="preserve">ИНН</w:t>
            </w:r>
            <w:r>
              <w:rPr>
                <w:rFonts w:eastAsia="Courier New"/>
                <w:sz w:val="24"/>
                <w:szCs w:val="24"/>
                <w:vertAlign w:val="superscript"/>
              </w:rPr>
            </w:r>
            <w:r>
              <w:rPr>
                <w:rFonts w:eastAsia="Courier New"/>
                <w:sz w:val="24"/>
                <w:szCs w:val="24"/>
                <w:vertAlign w:val="superscript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1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3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91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  <w:vertAlign w:val="superscript"/>
              </w:rPr>
            </w:pPr>
            <w:r>
              <w:rPr>
                <w:rFonts w:eastAsia="Courier New"/>
                <w:sz w:val="24"/>
                <w:szCs w:val="24"/>
              </w:rPr>
              <w:t xml:space="preserve">Юридический адрес (для юр. лиц) / адрес регистрации по месту жительства (для индивидуальных предпринимателей и самозанятых)</w:t>
            </w:r>
            <w:r>
              <w:rPr>
                <w:rFonts w:eastAsia="Courier New"/>
                <w:sz w:val="24"/>
                <w:szCs w:val="24"/>
                <w:vertAlign w:val="superscript"/>
              </w:rPr>
            </w:r>
            <w:r>
              <w:rPr>
                <w:rFonts w:eastAsia="Courier New"/>
                <w:sz w:val="24"/>
                <w:szCs w:val="24"/>
                <w:vertAlign w:val="superscript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1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4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91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  <w:vertAlign w:val="superscript"/>
              </w:rPr>
            </w:pPr>
            <w:r>
              <w:rPr>
                <w:rFonts w:eastAsia="Courier New"/>
                <w:sz w:val="24"/>
                <w:szCs w:val="24"/>
              </w:rPr>
              <w:t xml:space="preserve">Контактный телефон</w:t>
            </w:r>
            <w:r>
              <w:rPr>
                <w:rFonts w:eastAsia="Courier New"/>
                <w:sz w:val="24"/>
                <w:szCs w:val="24"/>
                <w:vertAlign w:val="superscript"/>
              </w:rPr>
            </w:r>
            <w:r>
              <w:rPr>
                <w:rFonts w:eastAsia="Courier New"/>
                <w:sz w:val="24"/>
                <w:szCs w:val="24"/>
                <w:vertAlign w:val="superscript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1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5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91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Адрес электронной почты (при наличии)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1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</w:tr>
    </w:tbl>
    <w:p>
      <w:pPr>
        <w:pStyle w:val="86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0268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748"/>
        <w:gridCol w:w="340"/>
        <w:gridCol w:w="2070"/>
        <w:gridCol w:w="340"/>
        <w:gridCol w:w="3770"/>
      </w:tblGrid>
      <w:tr>
        <w:tblPrEx/>
        <w:trPr/>
        <w:tc>
          <w:tcPr>
            <w:tcBorders>
              <w:bottom w:val="single" w:color="auto" w:sz="4" w:space="0"/>
            </w:tcBorders>
            <w:tcW w:w="3748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W w:w="340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2070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W w:w="340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770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748" w:type="dxa"/>
            <w:textDirection w:val="lrTb"/>
            <w:noWrap w:val="false"/>
          </w:tcPr>
          <w:p>
            <w:pPr>
              <w:jc w:val="center"/>
              <w:rPr>
                <w:rFonts w:eastAsia="Courier New"/>
              </w:rPr>
            </w:pPr>
            <w:r>
              <w:rPr>
                <w:rFonts w:eastAsia="Courier New"/>
              </w:rPr>
              <w:t xml:space="preserve">(должность </w:t>
            </w:r>
            <w:r>
              <w:rPr>
                <w:rFonts w:eastAsia="Courier New"/>
              </w:rPr>
              <w:t xml:space="preserve">лица, подписавшего заявление)</w:t>
            </w:r>
            <w:r>
              <w:rPr>
                <w:rFonts w:eastAsia="Courier New"/>
              </w:rPr>
            </w:r>
            <w:r>
              <w:rPr>
                <w:rFonts w:eastAsia="Courier New"/>
              </w:rPr>
            </w:r>
          </w:p>
        </w:tc>
        <w:tc>
          <w:tcPr>
            <w:tcW w:w="340" w:type="dxa"/>
            <w:textDirection w:val="lrTb"/>
            <w:noWrap w:val="false"/>
          </w:tcPr>
          <w:p>
            <w:pPr>
              <w:rPr>
                <w:rFonts w:eastAsia="Courier New"/>
              </w:rPr>
            </w:pPr>
            <w:r>
              <w:rPr>
                <w:rFonts w:eastAsia="Courier New"/>
              </w:rPr>
            </w:r>
            <w:r>
              <w:rPr>
                <w:rFonts w:eastAsia="Courier New"/>
              </w:rPr>
            </w:r>
            <w:r>
              <w:rPr>
                <w:rFonts w:eastAsia="Courier New"/>
              </w:rPr>
            </w:r>
          </w:p>
        </w:tc>
        <w:tc>
          <w:tcPr>
            <w:tcBorders>
              <w:top w:val="single" w:color="auto" w:sz="4" w:space="0"/>
            </w:tcBorders>
            <w:tcW w:w="2070" w:type="dxa"/>
            <w:textDirection w:val="lrTb"/>
            <w:noWrap w:val="false"/>
          </w:tcPr>
          <w:p>
            <w:pPr>
              <w:jc w:val="center"/>
              <w:rPr>
                <w:rFonts w:eastAsia="Courier New"/>
              </w:rPr>
            </w:pPr>
            <w:r>
              <w:rPr>
                <w:rFonts w:eastAsia="Courier New"/>
              </w:rPr>
              <w:t xml:space="preserve">(подпись)</w:t>
            </w:r>
            <w:r>
              <w:rPr>
                <w:rFonts w:eastAsia="Courier New"/>
              </w:rPr>
            </w:r>
            <w:r>
              <w:rPr>
                <w:rFonts w:eastAsia="Courier New"/>
              </w:rPr>
            </w:r>
          </w:p>
        </w:tc>
        <w:tc>
          <w:tcPr>
            <w:tcW w:w="340" w:type="dxa"/>
            <w:textDirection w:val="lrTb"/>
            <w:noWrap w:val="false"/>
          </w:tcPr>
          <w:p>
            <w:pPr>
              <w:rPr>
                <w:rFonts w:eastAsia="Courier New"/>
              </w:rPr>
            </w:pPr>
            <w:r>
              <w:rPr>
                <w:rFonts w:eastAsia="Courier New"/>
              </w:rPr>
            </w:r>
            <w:r>
              <w:rPr>
                <w:rFonts w:eastAsia="Courier New"/>
              </w:rPr>
            </w:r>
            <w:r>
              <w:rPr>
                <w:rFonts w:eastAsia="Courier New"/>
              </w:rPr>
            </w:r>
          </w:p>
        </w:tc>
        <w:tc>
          <w:tcPr>
            <w:tcBorders>
              <w:top w:val="single" w:color="auto" w:sz="4" w:space="0"/>
            </w:tcBorders>
            <w:tcW w:w="3770" w:type="dxa"/>
            <w:textDirection w:val="lrTb"/>
            <w:noWrap w:val="false"/>
          </w:tcPr>
          <w:p>
            <w:pPr>
              <w:jc w:val="center"/>
              <w:rPr>
                <w:rFonts w:eastAsia="Courier New"/>
                <w:vertAlign w:val="superscript"/>
              </w:rPr>
            </w:pPr>
            <w:r>
              <w:rPr>
                <w:rFonts w:eastAsia="Courier New"/>
              </w:rPr>
              <w:t xml:space="preserve">(Ф.И.О. </w:t>
            </w:r>
            <w:r>
              <w:rPr>
                <w:rFonts w:eastAsia="Courier New"/>
              </w:rPr>
              <w:t xml:space="preserve">лица, подписавшего заявление)</w:t>
            </w:r>
            <w:r>
              <w:rPr>
                <w:rFonts w:eastAsia="Courier New"/>
                <w:vertAlign w:val="superscript"/>
              </w:rPr>
              <w:t xml:space="preserve">1</w:t>
            </w:r>
            <w:r>
              <w:rPr>
                <w:rFonts w:eastAsia="Courier New"/>
                <w:vertAlign w:val="superscript"/>
              </w:rPr>
            </w:r>
            <w:r>
              <w:rPr>
                <w:rFonts w:eastAsia="Courier New"/>
                <w:vertAlign w:val="superscript"/>
              </w:rPr>
            </w:r>
          </w:p>
        </w:tc>
      </w:tr>
      <w:tr>
        <w:tblPrEx/>
        <w:trPr/>
        <w:tc>
          <w:tcPr>
            <w:gridSpan w:val="4"/>
            <w:tcW w:w="6498" w:type="dxa"/>
            <w:textDirection w:val="lrTb"/>
            <w:noWrap w:val="false"/>
          </w:tcPr>
          <w:p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  <w:tc>
          <w:tcPr>
            <w:tcW w:w="3770" w:type="dxa"/>
            <w:textDirection w:val="lrTb"/>
            <w:noWrap w:val="false"/>
          </w:tcPr>
          <w:p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«</w:t>
            </w:r>
            <w:r>
              <w:rPr>
                <w:rFonts w:eastAsia="Courier New"/>
                <w:sz w:val="24"/>
                <w:szCs w:val="24"/>
              </w:rPr>
              <w:t xml:space="preserve">___</w:t>
            </w:r>
            <w:r>
              <w:rPr>
                <w:rFonts w:eastAsia="Courier New"/>
                <w:sz w:val="24"/>
                <w:szCs w:val="24"/>
              </w:rPr>
              <w:t xml:space="preserve">»</w:t>
            </w:r>
            <w:r>
              <w:rPr>
                <w:rFonts w:eastAsia="Courier New"/>
                <w:sz w:val="24"/>
                <w:szCs w:val="24"/>
              </w:rPr>
              <w:t xml:space="preserve"> _________ 20__ года</w:t>
            </w:r>
            <w:r>
              <w:rPr>
                <w:rFonts w:eastAsia="Courier New"/>
                <w:sz w:val="24"/>
                <w:szCs w:val="24"/>
              </w:rPr>
            </w:r>
            <w:r>
              <w:rPr>
                <w:rFonts w:eastAsia="Courier New"/>
                <w:sz w:val="24"/>
                <w:szCs w:val="24"/>
              </w:rPr>
            </w:r>
          </w:p>
        </w:tc>
      </w:tr>
    </w:tbl>
    <w:p>
      <w:pPr>
        <w:pStyle w:val="86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Результат рассмотрения заявления прошу: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7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34"/>
        <w:gridCol w:w="9247"/>
      </w:tblGrid>
      <w:tr>
        <w:tblPrEx/>
        <w:trPr/>
        <w:tc>
          <w:tcPr>
            <w:shd w:val="clear" w:color="auto" w:fill="auto"/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ind w:firstLine="72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2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247" w:type="dxa"/>
            <w:vAlign w:val="center"/>
            <w:textDirection w:val="lrTb"/>
            <w:noWrap w:val="false"/>
          </w:tcPr>
          <w:p>
            <w:pPr>
              <w:ind w:left="776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выдать на руки при личной явке в </w:t>
            </w:r>
            <w:r>
              <w:rPr>
                <w:sz w:val="24"/>
                <w:szCs w:val="24"/>
              </w:rPr>
              <w:t xml:space="preserve">ОМСУ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ind w:firstLine="72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2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247" w:type="dxa"/>
            <w:vAlign w:val="center"/>
            <w:textDirection w:val="lrTb"/>
            <w:noWrap w:val="false"/>
          </w:tcPr>
          <w:p>
            <w:pPr>
              <w:ind w:left="776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направить в электронной форме в личный кабинет </w:t>
            </w:r>
            <w:r>
              <w:rPr>
                <w:sz w:val="24"/>
                <w:szCs w:val="24"/>
              </w:rPr>
              <w:t xml:space="preserve">Государственной информационной системы Ленинградской области  Ленинградской области </w:t>
            </w:r>
            <w:r>
              <w:rPr>
                <w:sz w:val="24"/>
                <w:szCs w:val="24"/>
              </w:rPr>
              <w:t xml:space="preserve">«Прием конкурсных заявок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от субъектов малого и среднего предпринимательства на предоставление субсидий»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6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jc w:val="both"/>
        <w:rPr>
          <w:sz w:val="20"/>
        </w:rPr>
      </w:pPr>
      <w:r>
        <w:rPr>
          <w:sz w:val="20"/>
        </w:rPr>
        <w:t xml:space="preserve">__________</w:t>
      </w:r>
      <w:r>
        <w:rPr>
          <w:sz w:val="20"/>
        </w:rPr>
        <w:t xml:space="preserve">______</w:t>
      </w:r>
      <w:r>
        <w:rPr>
          <w:sz w:val="20"/>
        </w:rPr>
      </w:r>
      <w:r>
        <w:rPr>
          <w:sz w:val="20"/>
        </w:rPr>
      </w:r>
    </w:p>
    <w:p>
      <w:pPr>
        <w:pStyle w:val="865"/>
        <w:jc w:val="both"/>
        <w:rPr>
          <w:sz w:val="20"/>
        </w:rPr>
      </w:pPr>
      <w:r>
        <w:rPr>
          <w:sz w:val="20"/>
        </w:rPr>
        <w:t xml:space="preserve">* – в случае выбора позиции в графе проставляется отметка.</w:t>
      </w:r>
      <w:r>
        <w:rPr>
          <w:sz w:val="20"/>
        </w:rPr>
      </w:r>
      <w:r>
        <w:rPr>
          <w:sz w:val="20"/>
        </w:rPr>
      </w:r>
    </w:p>
    <w:p>
      <w:pPr>
        <w:pStyle w:val="865"/>
        <w:jc w:val="both"/>
        <w:rPr>
          <w:sz w:val="20"/>
        </w:rPr>
      </w:pPr>
      <w:r>
        <w:rPr>
          <w:sz w:val="20"/>
        </w:rPr>
        <w:t xml:space="preserve">1 – </w:t>
      </w:r>
      <w:r>
        <w:rPr>
          <w:sz w:val="20"/>
        </w:rPr>
        <w:t xml:space="preserve">в случае подписания заявления лицом, не имеющим права действовать от имени заявителя без доверенности,</w:t>
      </w:r>
      <w:r>
        <w:rPr>
          <w:sz w:val="20"/>
        </w:rPr>
        <w:br/>
        <w:t xml:space="preserve">к заявлению прикладывается оформленная в установленном порядке доверенность или иной документ, подтверждающий полномочия подписавшего заявление лица действовать от имени заявителя.</w:t>
      </w:r>
      <w:r>
        <w:rPr>
          <w:sz w:val="20"/>
        </w:rPr>
      </w:r>
      <w:r>
        <w:rPr>
          <w:sz w:val="20"/>
        </w:rPr>
      </w:r>
    </w:p>
    <w:p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 w:clear="all"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right"/>
        <w:tabs>
          <w:tab w:val="left" w:pos="142" w:leader="none"/>
          <w:tab w:val="left" w:pos="284" w:leader="none"/>
        </w:tabs>
        <w:rPr>
          <w:bCs/>
          <w:sz w:val="24"/>
          <w:szCs w:val="24"/>
        </w:rPr>
      </w:pPr>
      <w:r>
        <w:rPr>
          <w:sz w:val="24"/>
          <w:szCs w:val="24"/>
          <w:lang w:eastAsia="en-US"/>
        </w:rPr>
        <w:t xml:space="preserve">Образец № 3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right="-104" w:firstLine="720"/>
        <w:jc w:val="right"/>
        <w:tabs>
          <w:tab w:val="left" w:pos="142" w:leader="none"/>
          <w:tab w:val="left" w:pos="28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tabs>
          <w:tab w:val="left" w:pos="142" w:leader="none"/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(ФОРМА)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right"/>
        <w:tabs>
          <w:tab w:val="left" w:pos="142" w:leader="none"/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&lt;НА БЛАНКЕ </w:t>
      </w:r>
      <w:r>
        <w:rPr>
          <w:sz w:val="24"/>
          <w:szCs w:val="24"/>
        </w:rPr>
        <w:t xml:space="preserve">ОМСУ</w:t>
      </w:r>
      <w:r>
        <w:rPr>
          <w:sz w:val="24"/>
          <w:szCs w:val="24"/>
        </w:rPr>
        <w:t xml:space="preserve">&gt;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right"/>
        <w:rPr>
          <w:b/>
          <w:sz w:val="24"/>
          <w:szCs w:val="24"/>
        </w:rPr>
      </w:pPr>
      <w:r>
        <w:rPr>
          <w:i/>
          <w:sz w:val="24"/>
          <w:szCs w:val="24"/>
        </w:rPr>
        <w:t xml:space="preserve">Наименование и адрес заявителя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УВЕДОМЛЕНИЕ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о</w:t>
      </w:r>
      <w:r>
        <w:rPr>
          <w:b/>
          <w:sz w:val="24"/>
          <w:szCs w:val="24"/>
        </w:rPr>
        <w:t xml:space="preserve">б отказе во включении нестационарного торгового объекта в схему размещения нестационарных торговых объектов, </w:t>
      </w:r>
      <w:r>
        <w:rPr>
          <w:b/>
          <w:sz w:val="24"/>
          <w:szCs w:val="24"/>
        </w:rPr>
        <w:t xml:space="preserve">расположенных на земельных участках, в зданиях, строениях и сооружениях, находящихся в государственной и муниципальной собственности, на территории муниципального образования _________________________ Ленинградской</w:t>
      </w:r>
      <w:r>
        <w:rPr>
          <w:b/>
          <w:sz w:val="24"/>
          <w:szCs w:val="24"/>
        </w:rPr>
        <w:t xml:space="preserve"> области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 </w:t>
      </w:r>
      <w:r>
        <w:rPr>
          <w:i/>
          <w:sz w:val="24"/>
          <w:szCs w:val="24"/>
        </w:rPr>
        <w:t xml:space="preserve">(наименование ОМСУ)</w:t>
      </w:r>
      <w:r>
        <w:rPr>
          <w:sz w:val="24"/>
          <w:szCs w:val="24"/>
        </w:rPr>
        <w:t xml:space="preserve">, рассмотрев заявление о </w:t>
      </w:r>
      <w:r>
        <w:rPr>
          <w:sz w:val="24"/>
          <w:szCs w:val="24"/>
        </w:rPr>
        <w:t xml:space="preserve">включении </w:t>
      </w:r>
      <w:r>
        <w:rPr>
          <w:sz w:val="24"/>
          <w:szCs w:val="24"/>
        </w:rPr>
        <w:t xml:space="preserve">немобильного / мобильного </w:t>
      </w:r>
      <w:r>
        <w:rPr>
          <w:sz w:val="24"/>
          <w:szCs w:val="24"/>
        </w:rPr>
        <w:t xml:space="preserve">нестационарного торгового объекта в схему размещения </w:t>
      </w:r>
      <w:r>
        <w:rPr>
          <w:sz w:val="24"/>
          <w:szCs w:val="24"/>
        </w:rPr>
        <w:t xml:space="preserve">нестационарных торговых объектов, расположенных на земельных участках, в зданиях, строениях и сооружениях, находящихся в государственной и муниципальной собственности, на территории муниципального образования _________________________ Ленинградской области</w:t>
      </w:r>
      <w:r>
        <w:rPr>
          <w:sz w:val="24"/>
          <w:szCs w:val="24"/>
        </w:rPr>
        <w:t xml:space="preserve"> (далее – Схема) от «____» ___________ 20__ г., сообщает об отказе во включении нестационарного торгового объекта в Схему по следующим основаниям: ______________________________ </w:t>
      </w:r>
      <w:r>
        <w:rPr>
          <w:i/>
          <w:sz w:val="24"/>
          <w:szCs w:val="24"/>
        </w:rPr>
        <w:t xml:space="preserve">(указывается мотивированные причины отказа)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</w:r>
      <w:r>
        <w:rPr>
          <w:sz w:val="24"/>
          <w:szCs w:val="24"/>
          <w:lang w:bidi="ru-RU"/>
        </w:rPr>
      </w:r>
      <w:r>
        <w:rPr>
          <w:sz w:val="24"/>
          <w:szCs w:val="24"/>
          <w:lang w:bidi="ru-RU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708"/>
        <w:gridCol w:w="540"/>
        <w:gridCol w:w="1980"/>
        <w:gridCol w:w="540"/>
        <w:gridCol w:w="308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70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198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08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08" w:type="dxa"/>
            <w:textDirection w:val="lrTb"/>
            <w:noWrap w:val="false"/>
          </w:tcPr>
          <w:p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(должность руководителя)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(подпись)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" w:type="dxa"/>
            <w:textDirection w:val="lrTb"/>
            <w:noWrap w:val="false"/>
          </w:tcPr>
          <w:p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86" w:type="dxa"/>
            <w:textDirection w:val="lrTb"/>
            <w:noWrap w:val="false"/>
          </w:tcPr>
          <w:p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(фамилия и инициалы руководителя)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</w:tr>
    </w:tbl>
    <w:p>
      <w:pPr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851" w:bottom="1134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823773391"/>
      <w:docPartObj>
        <w:docPartGallery w:val="Page Numbers (Top of Page)"/>
        <w:docPartUnique w:val="true"/>
      </w:docPartObj>
      <w:rPr/>
    </w:sdtPr>
    <w:sdtContent>
      <w:p>
        <w:pPr>
          <w:pStyle w:val="8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860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8">
    <w:name w:val="Heading 1"/>
    <w:basedOn w:val="852"/>
    <w:next w:val="852"/>
    <w:link w:val="67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9">
    <w:name w:val="Heading 1 Char"/>
    <w:basedOn w:val="853"/>
    <w:link w:val="678"/>
    <w:uiPriority w:val="9"/>
    <w:rPr>
      <w:rFonts w:ascii="Arial" w:hAnsi="Arial" w:eastAsia="Arial" w:cs="Arial"/>
      <w:sz w:val="40"/>
      <w:szCs w:val="40"/>
    </w:rPr>
  </w:style>
  <w:style w:type="paragraph" w:styleId="680">
    <w:name w:val="Heading 2"/>
    <w:basedOn w:val="852"/>
    <w:next w:val="852"/>
    <w:link w:val="68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1">
    <w:name w:val="Heading 2 Char"/>
    <w:basedOn w:val="853"/>
    <w:link w:val="680"/>
    <w:uiPriority w:val="9"/>
    <w:rPr>
      <w:rFonts w:ascii="Arial" w:hAnsi="Arial" w:eastAsia="Arial" w:cs="Arial"/>
      <w:sz w:val="34"/>
    </w:rPr>
  </w:style>
  <w:style w:type="paragraph" w:styleId="682">
    <w:name w:val="Heading 3"/>
    <w:basedOn w:val="852"/>
    <w:next w:val="852"/>
    <w:link w:val="68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3">
    <w:name w:val="Heading 3 Char"/>
    <w:basedOn w:val="853"/>
    <w:link w:val="682"/>
    <w:uiPriority w:val="9"/>
    <w:rPr>
      <w:rFonts w:ascii="Arial" w:hAnsi="Arial" w:eastAsia="Arial" w:cs="Arial"/>
      <w:sz w:val="30"/>
      <w:szCs w:val="30"/>
    </w:rPr>
  </w:style>
  <w:style w:type="paragraph" w:styleId="684">
    <w:name w:val="Heading 4"/>
    <w:basedOn w:val="852"/>
    <w:next w:val="852"/>
    <w:link w:val="68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5">
    <w:name w:val="Heading 4 Char"/>
    <w:basedOn w:val="853"/>
    <w:link w:val="684"/>
    <w:uiPriority w:val="9"/>
    <w:rPr>
      <w:rFonts w:ascii="Arial" w:hAnsi="Arial" w:eastAsia="Arial" w:cs="Arial"/>
      <w:b/>
      <w:bCs/>
      <w:sz w:val="26"/>
      <w:szCs w:val="26"/>
    </w:rPr>
  </w:style>
  <w:style w:type="paragraph" w:styleId="686">
    <w:name w:val="Heading 5"/>
    <w:basedOn w:val="852"/>
    <w:next w:val="852"/>
    <w:link w:val="68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7">
    <w:name w:val="Heading 5 Char"/>
    <w:basedOn w:val="853"/>
    <w:link w:val="686"/>
    <w:uiPriority w:val="9"/>
    <w:rPr>
      <w:rFonts w:ascii="Arial" w:hAnsi="Arial" w:eastAsia="Arial" w:cs="Arial"/>
      <w:b/>
      <w:bCs/>
      <w:sz w:val="24"/>
      <w:szCs w:val="24"/>
    </w:rPr>
  </w:style>
  <w:style w:type="paragraph" w:styleId="688">
    <w:name w:val="Heading 6"/>
    <w:basedOn w:val="852"/>
    <w:next w:val="852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9">
    <w:name w:val="Heading 6 Char"/>
    <w:basedOn w:val="853"/>
    <w:link w:val="688"/>
    <w:uiPriority w:val="9"/>
    <w:rPr>
      <w:rFonts w:ascii="Arial" w:hAnsi="Arial" w:eastAsia="Arial" w:cs="Arial"/>
      <w:b/>
      <w:bCs/>
      <w:sz w:val="22"/>
      <w:szCs w:val="22"/>
    </w:rPr>
  </w:style>
  <w:style w:type="paragraph" w:styleId="690">
    <w:name w:val="Heading 7"/>
    <w:basedOn w:val="852"/>
    <w:next w:val="852"/>
    <w:link w:val="69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1">
    <w:name w:val="Heading 7 Char"/>
    <w:basedOn w:val="853"/>
    <w:link w:val="6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2">
    <w:name w:val="Heading 8"/>
    <w:basedOn w:val="852"/>
    <w:next w:val="852"/>
    <w:link w:val="69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3">
    <w:name w:val="Heading 8 Char"/>
    <w:basedOn w:val="853"/>
    <w:link w:val="692"/>
    <w:uiPriority w:val="9"/>
    <w:rPr>
      <w:rFonts w:ascii="Arial" w:hAnsi="Arial" w:eastAsia="Arial" w:cs="Arial"/>
      <w:i/>
      <w:iCs/>
      <w:sz w:val="22"/>
      <w:szCs w:val="22"/>
    </w:rPr>
  </w:style>
  <w:style w:type="paragraph" w:styleId="694">
    <w:name w:val="Heading 9"/>
    <w:basedOn w:val="852"/>
    <w:next w:val="852"/>
    <w:link w:val="69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5">
    <w:name w:val="Heading 9 Char"/>
    <w:basedOn w:val="853"/>
    <w:link w:val="694"/>
    <w:uiPriority w:val="9"/>
    <w:rPr>
      <w:rFonts w:ascii="Arial" w:hAnsi="Arial" w:eastAsia="Arial" w:cs="Arial"/>
      <w:i/>
      <w:iCs/>
      <w:sz w:val="21"/>
      <w:szCs w:val="21"/>
    </w:rPr>
  </w:style>
  <w:style w:type="paragraph" w:styleId="696">
    <w:name w:val="No Spacing"/>
    <w:uiPriority w:val="1"/>
    <w:qFormat/>
    <w:pPr>
      <w:spacing w:before="0" w:after="0" w:line="240" w:lineRule="auto"/>
    </w:pPr>
  </w:style>
  <w:style w:type="paragraph" w:styleId="697">
    <w:name w:val="Title"/>
    <w:basedOn w:val="852"/>
    <w:next w:val="852"/>
    <w:link w:val="69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8">
    <w:name w:val="Title Char"/>
    <w:basedOn w:val="853"/>
    <w:link w:val="697"/>
    <w:uiPriority w:val="10"/>
    <w:rPr>
      <w:sz w:val="48"/>
      <w:szCs w:val="48"/>
    </w:rPr>
  </w:style>
  <w:style w:type="paragraph" w:styleId="699">
    <w:name w:val="Subtitle"/>
    <w:basedOn w:val="852"/>
    <w:next w:val="852"/>
    <w:link w:val="700"/>
    <w:uiPriority w:val="11"/>
    <w:qFormat/>
    <w:pPr>
      <w:spacing w:before="200" w:after="200"/>
    </w:pPr>
    <w:rPr>
      <w:sz w:val="24"/>
      <w:szCs w:val="24"/>
    </w:rPr>
  </w:style>
  <w:style w:type="character" w:styleId="700">
    <w:name w:val="Subtitle Char"/>
    <w:basedOn w:val="853"/>
    <w:link w:val="699"/>
    <w:uiPriority w:val="11"/>
    <w:rPr>
      <w:sz w:val="24"/>
      <w:szCs w:val="24"/>
    </w:rPr>
  </w:style>
  <w:style w:type="paragraph" w:styleId="701">
    <w:name w:val="Quote"/>
    <w:basedOn w:val="852"/>
    <w:next w:val="852"/>
    <w:link w:val="702"/>
    <w:uiPriority w:val="29"/>
    <w:qFormat/>
    <w:pPr>
      <w:ind w:left="720" w:right="720"/>
    </w:pPr>
    <w:rPr>
      <w:i/>
    </w:rPr>
  </w:style>
  <w:style w:type="character" w:styleId="702">
    <w:name w:val="Quote Char"/>
    <w:link w:val="701"/>
    <w:uiPriority w:val="29"/>
    <w:rPr>
      <w:i/>
    </w:rPr>
  </w:style>
  <w:style w:type="paragraph" w:styleId="703">
    <w:name w:val="Intense Quote"/>
    <w:basedOn w:val="852"/>
    <w:next w:val="852"/>
    <w:link w:val="70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4">
    <w:name w:val="Intense Quote Char"/>
    <w:link w:val="703"/>
    <w:uiPriority w:val="30"/>
    <w:rPr>
      <w:i/>
    </w:rPr>
  </w:style>
  <w:style w:type="character" w:styleId="705">
    <w:name w:val="Header Char"/>
    <w:basedOn w:val="853"/>
    <w:link w:val="860"/>
    <w:uiPriority w:val="99"/>
  </w:style>
  <w:style w:type="character" w:styleId="706">
    <w:name w:val="Footer Char"/>
    <w:basedOn w:val="853"/>
    <w:link w:val="862"/>
    <w:uiPriority w:val="99"/>
  </w:style>
  <w:style w:type="paragraph" w:styleId="707">
    <w:name w:val="Caption"/>
    <w:basedOn w:val="852"/>
    <w:next w:val="852"/>
    <w:link w:val="70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>
    <w:name w:val="Caption Char"/>
    <w:basedOn w:val="853"/>
    <w:link w:val="707"/>
    <w:uiPriority w:val="35"/>
    <w:rPr>
      <w:b/>
      <w:bCs/>
      <w:color w:val="4f81bd" w:themeColor="accent1"/>
      <w:sz w:val="18"/>
      <w:szCs w:val="18"/>
    </w:rPr>
  </w:style>
  <w:style w:type="table" w:styleId="709">
    <w:name w:val="Table Grid Light"/>
    <w:basedOn w:val="85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>
    <w:name w:val="Plain Table 1"/>
    <w:basedOn w:val="85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2"/>
    <w:basedOn w:val="85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3">
    <w:name w:val="Plain Table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Plain Table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5">
    <w:name w:val="Grid Table 1 Light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4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7">
    <w:name w:val="Grid Table 4 - Accent 1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8">
    <w:name w:val="Grid Table 4 - Accent 2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9">
    <w:name w:val="Grid Table 4 - Accent 3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0">
    <w:name w:val="Grid Table 4 - Accent 4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1">
    <w:name w:val="Grid Table 4 - Accent 5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2">
    <w:name w:val="Grid Table 4 - Accent 6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3">
    <w:name w:val="Grid Table 5 Dark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4">
    <w:name w:val="Grid Table 5 Dark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7">
    <w:name w:val="Grid Table 5 Dark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0">
    <w:name w:val="Grid Table 6 Colorful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1">
    <w:name w:val="Grid Table 6 Colorful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2">
    <w:name w:val="Grid Table 6 Colorful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3">
    <w:name w:val="Grid Table 6 Colorful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4">
    <w:name w:val="Grid Table 6 Colorful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5">
    <w:name w:val="Grid Table 6 Colorful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6 Colorful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7">
    <w:name w:val="Grid Table 7 Colorful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2">
    <w:name w:val="List Table 2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3">
    <w:name w:val="List Table 2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4">
    <w:name w:val="List Table 2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5">
    <w:name w:val="List Table 2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6">
    <w:name w:val="List Table 2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7">
    <w:name w:val="List Table 2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8">
    <w:name w:val="List Table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5 Dark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6 Colorful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0">
    <w:name w:val="List Table 6 Colorful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1">
    <w:name w:val="List Table 6 Colorful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2">
    <w:name w:val="List Table 6 Colorful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3">
    <w:name w:val="List Table 6 Colorful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4">
    <w:name w:val="List Table 6 Colorful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5">
    <w:name w:val="List Table 6 Colorful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6">
    <w:name w:val="List Table 7 Colorful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7">
    <w:name w:val="List Table 7 Colorful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8">
    <w:name w:val="List Table 7 Colorful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9">
    <w:name w:val="List Table 7 Colorful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0">
    <w:name w:val="List Table 7 Colorful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1">
    <w:name w:val="List Table 7 Colorful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2">
    <w:name w:val="List Table 7 Colorful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3">
    <w:name w:val="Lined - Accent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4">
    <w:name w:val="Lined - Accent 1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5">
    <w:name w:val="Lined - Accent 2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6">
    <w:name w:val="Lined - Accent 3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7">
    <w:name w:val="Lined - Accent 4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8">
    <w:name w:val="Lined - Accent 5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9">
    <w:name w:val="Lined - Accent 6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0">
    <w:name w:val="Bordered &amp; Lined - Accent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1">
    <w:name w:val="Bordered &amp; Lined - Accent 1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2">
    <w:name w:val="Bordered &amp; Lined - Accent 2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3">
    <w:name w:val="Bordered &amp; Lined - Accent 3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4">
    <w:name w:val="Bordered &amp; Lined - Accent 4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5">
    <w:name w:val="Bordered &amp; Lined - Accent 5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6">
    <w:name w:val="Bordered &amp; Lined - Accent 6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7">
    <w:name w:val="Bordered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8">
    <w:name w:val="Bordered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9">
    <w:name w:val="Bordered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0">
    <w:name w:val="Bordered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1">
    <w:name w:val="Bordered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2">
    <w:name w:val="Bordered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3">
    <w:name w:val="Bordered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4">
    <w:name w:val="Hyperlink"/>
    <w:uiPriority w:val="99"/>
    <w:unhideWhenUsed/>
    <w:rPr>
      <w:color w:val="0000ff" w:themeColor="hyperlink"/>
      <w:u w:val="single"/>
    </w:rPr>
  </w:style>
  <w:style w:type="paragraph" w:styleId="835">
    <w:name w:val="footnote text"/>
    <w:basedOn w:val="852"/>
    <w:link w:val="836"/>
    <w:uiPriority w:val="99"/>
    <w:semiHidden/>
    <w:unhideWhenUsed/>
    <w:pPr>
      <w:spacing w:after="40" w:line="240" w:lineRule="auto"/>
    </w:pPr>
    <w:rPr>
      <w:sz w:val="18"/>
    </w:rPr>
  </w:style>
  <w:style w:type="character" w:styleId="836">
    <w:name w:val="Footnote Text Char"/>
    <w:link w:val="835"/>
    <w:uiPriority w:val="99"/>
    <w:rPr>
      <w:sz w:val="18"/>
    </w:rPr>
  </w:style>
  <w:style w:type="character" w:styleId="837">
    <w:name w:val="footnote reference"/>
    <w:basedOn w:val="853"/>
    <w:uiPriority w:val="99"/>
    <w:unhideWhenUsed/>
    <w:rPr>
      <w:vertAlign w:val="superscript"/>
    </w:rPr>
  </w:style>
  <w:style w:type="paragraph" w:styleId="838">
    <w:name w:val="endnote text"/>
    <w:basedOn w:val="852"/>
    <w:link w:val="839"/>
    <w:uiPriority w:val="99"/>
    <w:semiHidden/>
    <w:unhideWhenUsed/>
    <w:pPr>
      <w:spacing w:after="0" w:line="240" w:lineRule="auto"/>
    </w:pPr>
    <w:rPr>
      <w:sz w:val="20"/>
    </w:rPr>
  </w:style>
  <w:style w:type="character" w:styleId="839">
    <w:name w:val="Endnote Text Char"/>
    <w:link w:val="838"/>
    <w:uiPriority w:val="99"/>
    <w:rPr>
      <w:sz w:val="20"/>
    </w:rPr>
  </w:style>
  <w:style w:type="character" w:styleId="840">
    <w:name w:val="endnote reference"/>
    <w:basedOn w:val="853"/>
    <w:uiPriority w:val="99"/>
    <w:semiHidden/>
    <w:unhideWhenUsed/>
    <w:rPr>
      <w:vertAlign w:val="superscript"/>
    </w:rPr>
  </w:style>
  <w:style w:type="paragraph" w:styleId="841">
    <w:name w:val="toc 1"/>
    <w:basedOn w:val="852"/>
    <w:next w:val="852"/>
    <w:uiPriority w:val="39"/>
    <w:unhideWhenUsed/>
    <w:pPr>
      <w:ind w:left="0" w:right="0" w:firstLine="0"/>
      <w:spacing w:after="57"/>
    </w:pPr>
  </w:style>
  <w:style w:type="paragraph" w:styleId="842">
    <w:name w:val="toc 2"/>
    <w:basedOn w:val="852"/>
    <w:next w:val="852"/>
    <w:uiPriority w:val="39"/>
    <w:unhideWhenUsed/>
    <w:pPr>
      <w:ind w:left="283" w:right="0" w:firstLine="0"/>
      <w:spacing w:after="57"/>
    </w:pPr>
  </w:style>
  <w:style w:type="paragraph" w:styleId="843">
    <w:name w:val="toc 3"/>
    <w:basedOn w:val="852"/>
    <w:next w:val="852"/>
    <w:uiPriority w:val="39"/>
    <w:unhideWhenUsed/>
    <w:pPr>
      <w:ind w:left="567" w:right="0" w:firstLine="0"/>
      <w:spacing w:after="57"/>
    </w:pPr>
  </w:style>
  <w:style w:type="paragraph" w:styleId="844">
    <w:name w:val="toc 4"/>
    <w:basedOn w:val="852"/>
    <w:next w:val="852"/>
    <w:uiPriority w:val="39"/>
    <w:unhideWhenUsed/>
    <w:pPr>
      <w:ind w:left="850" w:right="0" w:firstLine="0"/>
      <w:spacing w:after="57"/>
    </w:pPr>
  </w:style>
  <w:style w:type="paragraph" w:styleId="845">
    <w:name w:val="toc 5"/>
    <w:basedOn w:val="852"/>
    <w:next w:val="852"/>
    <w:uiPriority w:val="39"/>
    <w:unhideWhenUsed/>
    <w:pPr>
      <w:ind w:left="1134" w:right="0" w:firstLine="0"/>
      <w:spacing w:after="57"/>
    </w:pPr>
  </w:style>
  <w:style w:type="paragraph" w:styleId="846">
    <w:name w:val="toc 6"/>
    <w:basedOn w:val="852"/>
    <w:next w:val="852"/>
    <w:uiPriority w:val="39"/>
    <w:unhideWhenUsed/>
    <w:pPr>
      <w:ind w:left="1417" w:right="0" w:firstLine="0"/>
      <w:spacing w:after="57"/>
    </w:pPr>
  </w:style>
  <w:style w:type="paragraph" w:styleId="847">
    <w:name w:val="toc 7"/>
    <w:basedOn w:val="852"/>
    <w:next w:val="852"/>
    <w:uiPriority w:val="39"/>
    <w:unhideWhenUsed/>
    <w:pPr>
      <w:ind w:left="1701" w:right="0" w:firstLine="0"/>
      <w:spacing w:after="57"/>
    </w:pPr>
  </w:style>
  <w:style w:type="paragraph" w:styleId="848">
    <w:name w:val="toc 8"/>
    <w:basedOn w:val="852"/>
    <w:next w:val="852"/>
    <w:uiPriority w:val="39"/>
    <w:unhideWhenUsed/>
    <w:pPr>
      <w:ind w:left="1984" w:right="0" w:firstLine="0"/>
      <w:spacing w:after="57"/>
    </w:pPr>
  </w:style>
  <w:style w:type="paragraph" w:styleId="849">
    <w:name w:val="toc 9"/>
    <w:basedOn w:val="852"/>
    <w:next w:val="852"/>
    <w:uiPriority w:val="39"/>
    <w:unhideWhenUsed/>
    <w:pPr>
      <w:ind w:left="2268" w:right="0" w:firstLine="0"/>
      <w:spacing w:after="57"/>
    </w:pPr>
  </w:style>
  <w:style w:type="paragraph" w:styleId="850">
    <w:name w:val="TOC Heading"/>
    <w:uiPriority w:val="39"/>
    <w:unhideWhenUsed/>
  </w:style>
  <w:style w:type="paragraph" w:styleId="851">
    <w:name w:val="table of figures"/>
    <w:basedOn w:val="852"/>
    <w:next w:val="852"/>
    <w:uiPriority w:val="99"/>
    <w:unhideWhenUsed/>
    <w:pPr>
      <w:spacing w:after="0" w:afterAutospacing="0"/>
    </w:pPr>
  </w:style>
  <w:style w:type="paragraph" w:styleId="852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853" w:default="1">
    <w:name w:val="Default Paragraph Font"/>
    <w:uiPriority w:val="1"/>
    <w:semiHidden/>
    <w:unhideWhenUsed/>
  </w:style>
  <w:style w:type="table" w:styleId="85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5" w:default="1">
    <w:name w:val="No List"/>
    <w:uiPriority w:val="99"/>
    <w:semiHidden/>
    <w:unhideWhenUsed/>
  </w:style>
  <w:style w:type="paragraph" w:styleId="856">
    <w:name w:val="Normal (Web)"/>
    <w:basedOn w:val="852"/>
    <w:pPr>
      <w:spacing w:before="100" w:after="100"/>
    </w:pPr>
    <w:rPr>
      <w:color w:val="000000"/>
      <w:sz w:val="24"/>
      <w:szCs w:val="24"/>
    </w:rPr>
  </w:style>
  <w:style w:type="paragraph" w:styleId="857" w:customStyle="1">
    <w:name w:val="ConsPlusTitle"/>
    <w:pPr>
      <w:spacing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858">
    <w:name w:val="Balloon Text"/>
    <w:basedOn w:val="852"/>
    <w:link w:val="859"/>
    <w:uiPriority w:val="99"/>
    <w:semiHidden/>
    <w:unhideWhenUsed/>
    <w:rPr>
      <w:rFonts w:ascii="Tahoma" w:hAnsi="Tahoma" w:cs="Tahoma"/>
      <w:sz w:val="16"/>
      <w:szCs w:val="16"/>
    </w:rPr>
  </w:style>
  <w:style w:type="character" w:styleId="859" w:customStyle="1">
    <w:name w:val="Текст выноски Знак"/>
    <w:basedOn w:val="853"/>
    <w:link w:val="858"/>
    <w:uiPriority w:val="99"/>
    <w:semiHidden/>
    <w:rPr>
      <w:rFonts w:ascii="Tahoma" w:hAnsi="Tahoma" w:eastAsia="Times New Roman" w:cs="Tahoma"/>
      <w:sz w:val="16"/>
      <w:szCs w:val="16"/>
      <w:lang w:eastAsia="ar-SA"/>
    </w:rPr>
  </w:style>
  <w:style w:type="paragraph" w:styleId="860">
    <w:name w:val="Header"/>
    <w:basedOn w:val="852"/>
    <w:link w:val="86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1" w:customStyle="1">
    <w:name w:val="Верхний колонтитул Знак"/>
    <w:basedOn w:val="853"/>
    <w:link w:val="860"/>
    <w:uiPriority w:val="99"/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862">
    <w:name w:val="Footer"/>
    <w:basedOn w:val="852"/>
    <w:link w:val="86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3" w:customStyle="1">
    <w:name w:val="Нижний колонтитул Знак"/>
    <w:basedOn w:val="853"/>
    <w:link w:val="862"/>
    <w:uiPriority w:val="99"/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864">
    <w:name w:val="List Paragraph"/>
    <w:basedOn w:val="852"/>
    <w:qFormat/>
    <w:pPr>
      <w:contextualSpacing/>
      <w:ind w:left="720"/>
    </w:pPr>
  </w:style>
  <w:style w:type="paragraph" w:styleId="865" w:customStyle="1">
    <w:name w:val="ConsPlusNormal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table" w:styleId="866">
    <w:name w:val="Table Grid"/>
    <w:basedOn w:val="854"/>
    <w:uiPriority w:val="59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Relationship Id="rId10" Type="http://schemas.openxmlformats.org/officeDocument/2006/relationships/hyperlink" Target="https://login.consultant.ru/link/?req=doc&amp;base=LAW&amp;n=508991&amp;dst=100124" TargetMode="External"/><Relationship Id="rId11" Type="http://schemas.openxmlformats.org/officeDocument/2006/relationships/hyperlink" Target="https://login.consultant.ru/link/?req=doc&amp;base=SPB&amp;n=316702&amp;dst=101235" TargetMode="External"/><Relationship Id="rId12" Type="http://schemas.openxmlformats.org/officeDocument/2006/relationships/hyperlink" Target="https://login.consultant.ru/link/?req=doc&amp;base=SPB&amp;n=316702&amp;dst=101254" TargetMode="External"/><Relationship Id="rId13" Type="http://schemas.openxmlformats.org/officeDocument/2006/relationships/hyperlink" Target="https://login.consultant.ru/link/?req=doc&amp;base=SPB&amp;n=316702&amp;dst=10131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3552D-20EE-4F60-96E4-681949288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Эдуардович Клинков</dc:creator>
  <cp:lastModifiedBy>naa_orlova</cp:lastModifiedBy>
  <cp:revision>8</cp:revision>
  <dcterms:created xsi:type="dcterms:W3CDTF">2026-04-10T12:44:00Z</dcterms:created>
  <dcterms:modified xsi:type="dcterms:W3CDTF">2026-05-15T13:26:13Z</dcterms:modified>
</cp:coreProperties>
</file>